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2" w:rsidRDefault="009C3599" w:rsidP="00E57B3B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137160</wp:posOffset>
            </wp:positionV>
            <wp:extent cx="476250" cy="5619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CF2" w:rsidRDefault="00F12CF2" w:rsidP="00E57B3B">
      <w:pPr>
        <w:spacing w:after="0" w:line="240" w:lineRule="auto"/>
        <w:jc w:val="center"/>
        <w:rPr>
          <w:szCs w:val="28"/>
        </w:rPr>
      </w:pPr>
    </w:p>
    <w:p w:rsidR="00F12CF2" w:rsidRDefault="00F12CF2" w:rsidP="00E57B3B">
      <w:pPr>
        <w:spacing w:after="0" w:line="240" w:lineRule="auto"/>
        <w:jc w:val="center"/>
        <w:rPr>
          <w:szCs w:val="28"/>
        </w:rPr>
      </w:pPr>
    </w:p>
    <w:p w:rsidR="00E57B3B" w:rsidRPr="00E91B9F" w:rsidRDefault="005C73D4" w:rsidP="00E57B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0AD9">
        <w:rPr>
          <w:szCs w:val="28"/>
        </w:rPr>
        <w:t xml:space="preserve">  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Администраци</w:t>
      </w:r>
      <w:r w:rsidR="00F12CF2">
        <w:rPr>
          <w:rFonts w:ascii="Times New Roman" w:hAnsi="Times New Roman"/>
          <w:b/>
          <w:sz w:val="28"/>
          <w:szCs w:val="28"/>
        </w:rPr>
        <w:t>я</w:t>
      </w:r>
      <w:r w:rsidRPr="00E91B9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Пушкинский</w:t>
      </w:r>
      <w:r w:rsidRPr="00E91B9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E57B3B" w:rsidRDefault="00E57B3B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B9F">
        <w:rPr>
          <w:rFonts w:ascii="Times New Roman" w:hAnsi="Times New Roman"/>
          <w:sz w:val="28"/>
          <w:szCs w:val="28"/>
        </w:rPr>
        <w:t>Российской Федерации</w:t>
      </w:r>
    </w:p>
    <w:p w:rsidR="00F12CF2" w:rsidRPr="00E91B9F" w:rsidRDefault="00F12CF2" w:rsidP="00E57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CF2" w:rsidRPr="00E91B9F" w:rsidRDefault="00F12CF2" w:rsidP="00F1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9F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B3B" w:rsidRPr="00E91B9F" w:rsidRDefault="00E57B3B" w:rsidP="00E57B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57B3B" w:rsidRDefault="00E57B3B" w:rsidP="00E57B3B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2CF2">
        <w:rPr>
          <w:rFonts w:ascii="Times New Roman" w:hAnsi="Times New Roman"/>
          <w:sz w:val="28"/>
          <w:szCs w:val="28"/>
        </w:rPr>
        <w:t xml:space="preserve"> </w:t>
      </w:r>
      <w:r w:rsidR="00F12CF2" w:rsidRPr="00F12CF2">
        <w:rPr>
          <w:rFonts w:ascii="Times New Roman" w:hAnsi="Times New Roman"/>
          <w:sz w:val="28"/>
          <w:szCs w:val="28"/>
        </w:rPr>
        <w:t>21</w:t>
      </w:r>
      <w:r w:rsidRPr="00632457">
        <w:rPr>
          <w:rFonts w:ascii="Times New Roman" w:hAnsi="Times New Roman"/>
          <w:sz w:val="28"/>
          <w:szCs w:val="28"/>
        </w:rPr>
        <w:t>.12.</w:t>
      </w:r>
      <w:r w:rsidR="00BD16B8" w:rsidRPr="00632457">
        <w:rPr>
          <w:rFonts w:ascii="Times New Roman" w:hAnsi="Times New Roman"/>
          <w:sz w:val="28"/>
          <w:szCs w:val="28"/>
        </w:rPr>
        <w:t>202</w:t>
      </w:r>
      <w:r w:rsidR="00B0111E">
        <w:rPr>
          <w:rFonts w:ascii="Times New Roman" w:hAnsi="Times New Roman"/>
          <w:sz w:val="28"/>
          <w:szCs w:val="28"/>
        </w:rPr>
        <w:t>2</w:t>
      </w:r>
      <w:r w:rsidRPr="00632457">
        <w:rPr>
          <w:rFonts w:ascii="Times New Roman" w:hAnsi="Times New Roman"/>
          <w:sz w:val="28"/>
          <w:szCs w:val="28"/>
        </w:rPr>
        <w:t xml:space="preserve">                         </w:t>
      </w:r>
      <w:r w:rsidR="00F12CF2">
        <w:rPr>
          <w:rFonts w:ascii="Times New Roman" w:hAnsi="Times New Roman"/>
          <w:sz w:val="28"/>
          <w:szCs w:val="28"/>
        </w:rPr>
        <w:t xml:space="preserve">     </w:t>
      </w:r>
      <w:r w:rsidRPr="00632457">
        <w:rPr>
          <w:rFonts w:ascii="Times New Roman" w:hAnsi="Times New Roman"/>
          <w:sz w:val="28"/>
          <w:szCs w:val="28"/>
        </w:rPr>
        <w:t xml:space="preserve"> </w:t>
      </w:r>
      <w:r w:rsidR="00F12CF2">
        <w:rPr>
          <w:rFonts w:ascii="Times New Roman" w:hAnsi="Times New Roman"/>
          <w:sz w:val="28"/>
          <w:szCs w:val="28"/>
        </w:rPr>
        <w:t xml:space="preserve"> </w:t>
      </w:r>
      <w:r w:rsidR="009C3599">
        <w:rPr>
          <w:rFonts w:ascii="Times New Roman" w:hAnsi="Times New Roman"/>
          <w:sz w:val="28"/>
          <w:szCs w:val="28"/>
        </w:rPr>
        <w:t xml:space="preserve">  </w:t>
      </w:r>
      <w:r w:rsidR="00F12CF2">
        <w:rPr>
          <w:rFonts w:ascii="Times New Roman" w:hAnsi="Times New Roman"/>
          <w:sz w:val="28"/>
          <w:szCs w:val="28"/>
        </w:rPr>
        <w:t xml:space="preserve">   </w:t>
      </w:r>
      <w:r w:rsidRPr="00632457">
        <w:rPr>
          <w:rFonts w:ascii="Times New Roman" w:hAnsi="Times New Roman"/>
          <w:sz w:val="28"/>
          <w:szCs w:val="28"/>
        </w:rPr>
        <w:t xml:space="preserve"> с. Пушкино                                           №</w:t>
      </w:r>
      <w:r w:rsidR="0016657E" w:rsidRPr="00632457">
        <w:rPr>
          <w:rFonts w:ascii="Times New Roman" w:hAnsi="Times New Roman"/>
          <w:sz w:val="28"/>
          <w:szCs w:val="28"/>
        </w:rPr>
        <w:t xml:space="preserve"> </w:t>
      </w:r>
      <w:r w:rsidR="004F70C4">
        <w:rPr>
          <w:rFonts w:ascii="Times New Roman" w:hAnsi="Times New Roman"/>
          <w:sz w:val="28"/>
          <w:szCs w:val="28"/>
        </w:rPr>
        <w:t>71</w:t>
      </w:r>
    </w:p>
    <w:p w:rsidR="00E57B3B" w:rsidRPr="00632457" w:rsidRDefault="00E57B3B" w:rsidP="00E57B3B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Пушкинский сельсовет на </w:t>
      </w:r>
      <w:r w:rsidR="00B0111E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2023</w:t>
      </w:r>
      <w:r w:rsidR="006C3199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год</w:t>
      </w:r>
    </w:p>
    <w:p w:rsidR="00E57B3B" w:rsidRPr="00632457" w:rsidRDefault="00E57B3B" w:rsidP="00E57B3B">
      <w:pPr>
        <w:keepNext/>
        <w:tabs>
          <w:tab w:val="num" w:pos="432"/>
        </w:tabs>
        <w:suppressAutoHyphens/>
        <w:spacing w:after="0" w:line="240" w:lineRule="auto"/>
        <w:ind w:left="-45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 плановый период </w:t>
      </w:r>
      <w:r w:rsidR="00B0111E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2024</w:t>
      </w:r>
      <w:r w:rsidR="00A075F8"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B0111E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2024</w:t>
      </w:r>
      <w:r w:rsidRPr="0063245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E57B3B" w:rsidRPr="00632457" w:rsidRDefault="00E57B3B" w:rsidP="00E57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4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32457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632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32457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6324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сельского поселения Пушкинский сельсовет Добринского муниципального района Липецкой области Российской Федерации на </w:t>
      </w:r>
      <w:r w:rsidR="00B0111E">
        <w:rPr>
          <w:rFonts w:ascii="Times New Roman" w:hAnsi="Times New Roman" w:cs="Times New Roman"/>
          <w:sz w:val="28"/>
          <w:szCs w:val="28"/>
        </w:rPr>
        <w:t>2023</w:t>
      </w:r>
      <w:r w:rsidRPr="0063245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0111E">
        <w:rPr>
          <w:rFonts w:ascii="Times New Roman" w:hAnsi="Times New Roman" w:cs="Times New Roman"/>
          <w:sz w:val="28"/>
          <w:szCs w:val="28"/>
        </w:rPr>
        <w:t>2024</w:t>
      </w:r>
      <w:r w:rsidR="0016657E" w:rsidRPr="00632457">
        <w:rPr>
          <w:rFonts w:ascii="Times New Roman" w:hAnsi="Times New Roman" w:cs="Times New Roman"/>
          <w:sz w:val="28"/>
          <w:szCs w:val="28"/>
        </w:rPr>
        <w:t xml:space="preserve"> </w:t>
      </w:r>
      <w:r w:rsidRPr="00632457">
        <w:rPr>
          <w:rFonts w:ascii="Times New Roman" w:hAnsi="Times New Roman" w:cs="Times New Roman"/>
          <w:sz w:val="28"/>
          <w:szCs w:val="28"/>
        </w:rPr>
        <w:t xml:space="preserve">и </w:t>
      </w:r>
      <w:r w:rsidR="00B0111E">
        <w:rPr>
          <w:rFonts w:ascii="Times New Roman" w:hAnsi="Times New Roman" w:cs="Times New Roman"/>
          <w:sz w:val="28"/>
          <w:szCs w:val="28"/>
        </w:rPr>
        <w:t>2025</w:t>
      </w:r>
      <w:r w:rsidRPr="00632457"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63245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Пушкинский сельсовет </w:t>
      </w: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7B3B" w:rsidRPr="00632457" w:rsidRDefault="00E57B3B" w:rsidP="00E57B3B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12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24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политики </w:t>
      </w:r>
      <w:r w:rsidRPr="006324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Пушкинский сельсовет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приложению.</w:t>
      </w:r>
    </w:p>
    <w:p w:rsidR="00E57B3B" w:rsidRPr="00632457" w:rsidRDefault="00E57B3B" w:rsidP="00E57B3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45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12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обнародования.</w:t>
      </w:r>
    </w:p>
    <w:p w:rsidR="00E57B3B" w:rsidRPr="00632457" w:rsidRDefault="00E57B3B" w:rsidP="00E5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57B3B" w:rsidRPr="00632457" w:rsidRDefault="00E57B3B" w:rsidP="00E57B3B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сельсовет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Демихова</w:t>
      </w:r>
    </w:p>
    <w:p w:rsidR="00E57B3B" w:rsidRPr="00632457" w:rsidRDefault="00E57B3B" w:rsidP="00E57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Pr="00632457" w:rsidRDefault="00E57B3B" w:rsidP="00E57B3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3B" w:rsidRDefault="00E57B3B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CF2" w:rsidRPr="00632457" w:rsidRDefault="00F12CF2" w:rsidP="00E57B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E57B3B" w:rsidRPr="00632457" w:rsidRDefault="00E57B3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E57B3B" w:rsidRPr="00632457" w:rsidRDefault="00A075F8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 xml:space="preserve">от </w:t>
      </w:r>
      <w:r w:rsidR="00B0111E">
        <w:rPr>
          <w:rFonts w:ascii="Times New Roman" w:hAnsi="Times New Roman" w:cs="Times New Roman"/>
          <w:sz w:val="24"/>
          <w:szCs w:val="24"/>
        </w:rPr>
        <w:t>21</w:t>
      </w:r>
      <w:r w:rsidRPr="00632457">
        <w:rPr>
          <w:rFonts w:ascii="Times New Roman" w:hAnsi="Times New Roman" w:cs="Times New Roman"/>
          <w:sz w:val="24"/>
          <w:szCs w:val="24"/>
        </w:rPr>
        <w:t>.</w:t>
      </w:r>
      <w:r w:rsidR="00B0111E">
        <w:rPr>
          <w:rFonts w:ascii="Times New Roman" w:hAnsi="Times New Roman" w:cs="Times New Roman"/>
          <w:sz w:val="24"/>
          <w:szCs w:val="24"/>
        </w:rPr>
        <w:t>11</w:t>
      </w:r>
      <w:r w:rsidRPr="00632457">
        <w:rPr>
          <w:rFonts w:ascii="Times New Roman" w:hAnsi="Times New Roman" w:cs="Times New Roman"/>
          <w:sz w:val="24"/>
          <w:szCs w:val="24"/>
        </w:rPr>
        <w:t xml:space="preserve"> 202</w:t>
      </w:r>
      <w:r w:rsidR="00B0111E">
        <w:rPr>
          <w:rFonts w:ascii="Times New Roman" w:hAnsi="Times New Roman" w:cs="Times New Roman"/>
          <w:sz w:val="24"/>
          <w:szCs w:val="24"/>
        </w:rPr>
        <w:t>2</w:t>
      </w:r>
      <w:r w:rsidR="009C3599">
        <w:rPr>
          <w:rFonts w:ascii="Times New Roman" w:hAnsi="Times New Roman" w:cs="Times New Roman"/>
          <w:sz w:val="24"/>
          <w:szCs w:val="24"/>
        </w:rPr>
        <w:t xml:space="preserve"> </w:t>
      </w:r>
      <w:r w:rsidRPr="00632457">
        <w:rPr>
          <w:rFonts w:ascii="Times New Roman" w:hAnsi="Times New Roman" w:cs="Times New Roman"/>
          <w:sz w:val="24"/>
          <w:szCs w:val="24"/>
        </w:rPr>
        <w:t xml:space="preserve"> № </w:t>
      </w:r>
      <w:r w:rsidR="00B0111E">
        <w:rPr>
          <w:rFonts w:ascii="Times New Roman" w:hAnsi="Times New Roman" w:cs="Times New Roman"/>
          <w:sz w:val="24"/>
          <w:szCs w:val="24"/>
        </w:rPr>
        <w:t>71</w:t>
      </w:r>
      <w:r w:rsidR="00E57B3B" w:rsidRPr="00632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CC" w:rsidRPr="00632457" w:rsidRDefault="005C73D4" w:rsidP="007D1CBC">
      <w:pPr>
        <w:pStyle w:val="a4"/>
        <w:ind w:firstLine="567"/>
        <w:rPr>
          <w:sz w:val="28"/>
          <w:szCs w:val="28"/>
        </w:rPr>
      </w:pPr>
      <w:r w:rsidRPr="00632457">
        <w:rPr>
          <w:szCs w:val="28"/>
        </w:rPr>
        <w:t xml:space="preserve">       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5C73D4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Пушкинский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</w:t>
      </w:r>
      <w:r w:rsidR="00B0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7670B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</w:t>
      </w:r>
      <w:r w:rsidR="00B0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0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="005C73D4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12CF2" w:rsidRPr="00632457" w:rsidRDefault="00F12CF2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20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5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3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35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в соответствии с требованиями Бюджетного кодекса Российской Федерации 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принятого решением Совета депутатов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755C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55C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E28A2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-рс.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7670B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CE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базой для формирования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определяют стратегию действий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расходов бюджета и межбюджетных отношений.</w:t>
      </w:r>
      <w:proofErr w:type="gramEnd"/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бюджетной и налоговой политики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1CB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на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A555A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наиболее эффективным способом.</w:t>
      </w:r>
      <w:proofErr w:type="gramEnd"/>
    </w:p>
    <w:p w:rsidR="00F12CF2" w:rsidRDefault="00F12CF2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</w:t>
      </w:r>
      <w:r w:rsidR="00BD16B8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итоги бюджетной политики 202</w:t>
      </w:r>
      <w:r w:rsidR="00F1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экономика </w:t>
      </w:r>
      <w:r w:rsidR="005C73D4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характеризовалась преобладанием положительных тенденций и позитивной динамикой ключевых показателей.</w:t>
      </w:r>
    </w:p>
    <w:p w:rsidR="007A555A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выполняются бюджетные обязательства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55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сельским поселением</w:t>
      </w:r>
    </w:p>
    <w:p w:rsidR="00905CCC" w:rsidRPr="00632457" w:rsidRDefault="007A555A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б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A4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12041664,76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плану),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13 018 734,76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плану),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977070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следующая: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3188615,79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расходов,</w:t>
      </w:r>
      <w:r w:rsidR="005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оборона-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32394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683003,00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–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1211990,97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расходов, культура -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78365253,00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E17ACA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расходов, 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</w:t>
      </w:r>
      <w:r w:rsidR="00C2133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живание государственного долга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001BD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0,004</w:t>
      </w:r>
      <w:r w:rsidR="00F93613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05CCC" w:rsidRPr="00632457" w:rsidRDefault="00E83A7D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Calibri" w:hAnsi="Times New Roman" w:cs="Times New Roman"/>
          <w:sz w:val="28"/>
          <w:szCs w:val="28"/>
        </w:rPr>
        <w:t>В сельском поселении принята муниципальная программа «Устойчи</w:t>
      </w:r>
      <w:bookmarkStart w:id="0" w:name="_GoBack"/>
      <w:bookmarkEnd w:id="0"/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вое развитие территории сельского поселения </w:t>
      </w:r>
      <w:r w:rsidR="007D1CBC" w:rsidRPr="00632457">
        <w:rPr>
          <w:rFonts w:ascii="Times New Roman" w:eastAsia="Calibri" w:hAnsi="Times New Roman" w:cs="Times New Roman"/>
          <w:sz w:val="28"/>
          <w:szCs w:val="28"/>
        </w:rPr>
        <w:t>Пушкинский</w:t>
      </w: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 сельсовет на 20</w:t>
      </w:r>
      <w:r w:rsidR="00CD15F2" w:rsidRPr="00632457">
        <w:rPr>
          <w:rFonts w:ascii="Times New Roman" w:eastAsia="Calibri" w:hAnsi="Times New Roman" w:cs="Times New Roman"/>
          <w:sz w:val="28"/>
          <w:szCs w:val="28"/>
        </w:rPr>
        <w:t>1</w:t>
      </w:r>
      <w:r w:rsidR="00BD16B8" w:rsidRPr="00632457">
        <w:rPr>
          <w:rFonts w:ascii="Times New Roman" w:eastAsia="Calibri" w:hAnsi="Times New Roman" w:cs="Times New Roman"/>
          <w:sz w:val="28"/>
          <w:szCs w:val="28"/>
        </w:rPr>
        <w:t>9</w:t>
      </w:r>
      <w:r w:rsidRPr="00632457">
        <w:rPr>
          <w:rFonts w:ascii="Times New Roman" w:eastAsia="Calibri" w:hAnsi="Times New Roman" w:cs="Times New Roman"/>
          <w:sz w:val="28"/>
          <w:szCs w:val="28"/>
        </w:rPr>
        <w:t>-</w:t>
      </w:r>
      <w:r w:rsidR="00B0111E">
        <w:rPr>
          <w:rFonts w:ascii="Times New Roman" w:eastAsia="Calibri" w:hAnsi="Times New Roman" w:cs="Times New Roman"/>
          <w:sz w:val="28"/>
          <w:szCs w:val="28"/>
        </w:rPr>
        <w:t>2025</w:t>
      </w:r>
      <w:r w:rsidRPr="00632457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905CCC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часть бюджета составляет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9282,4</w:t>
      </w:r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5C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45529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36"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</w:t>
      </w:r>
      <w:r w:rsidR="00942441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CCC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поставлена задача – максимальн</w:t>
      </w:r>
      <w:r w:rsidR="00942441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сбор налоговых и неналоговых доходов,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средств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внебюджетных источников. </w:t>
      </w:r>
    </w:p>
    <w:p w:rsidR="00F12CF2" w:rsidRPr="00632457" w:rsidRDefault="00F12CF2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F2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задачи и направления бюджетной политики на </w:t>
      </w:r>
      <w:r w:rsidR="00B0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01BDC"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плановый период </w:t>
      </w:r>
      <w:r w:rsidR="00B0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0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="00A1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задачи бюджетной политики.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экономические условия, с одной стороны, еще больше усиливают социальную нагрузку на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</w:t>
      </w:r>
      <w:proofErr w:type="gramStart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тр</w:t>
      </w:r>
      <w:proofErr w:type="gramEnd"/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ближайших лет по повышению эффективности бюджетных расходов являются:</w:t>
      </w:r>
    </w:p>
    <w:p w:rsidR="00905CCC" w:rsidRPr="00632457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бюджетных расходов с учетом возможностей доходной базы бюджета;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бюджет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7D" w:rsidRPr="0063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показателей их достижения;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всех возможностей для привлечения средств внебюджетных источников, а также средств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бюджета, в первую очередь с наиболее высокой долей софинансирования;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оказания поддержки наиболее социально незащищенным категориям граждан;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перечня государственных услуг, оказываемых в электронном виде;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процедур проведения государственных закупок;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методологии разработки </w:t>
      </w:r>
      <w:r w:rsidR="00E83A7D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83A7D">
        <w:rPr>
          <w:rFonts w:ascii="Times New Roman" w:eastAsia="Calibri" w:hAnsi="Times New Roman" w:cs="Times New Roman"/>
          <w:sz w:val="28"/>
          <w:szCs w:val="28"/>
        </w:rPr>
        <w:t>ой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эффективности </w:t>
      </w:r>
      <w:r w:rsidR="00E8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будут продолжены по следующим направлениям: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обязательное отражение в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е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должно обеспечить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приоритетное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бюджетных средств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</w:t>
      </w:r>
      <w:proofErr w:type="gramStart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планирования значений целевых показателей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объемов финансирования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трехлетнего бюджета в соответствии с долгосрочным бюджетным прогнозом;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комплексной оценки эффективности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включающей оценку эффективности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разрезе подпрограмм, оценку финансового обеспечения и качества планирования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такой оценки должны учитываться при формировании параметров финансового обеспечения 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C6B9B">
        <w:rPr>
          <w:rFonts w:ascii="Times New Roman" w:eastAsia="Calibri" w:hAnsi="Times New Roman" w:cs="Times New Roman"/>
          <w:sz w:val="28"/>
          <w:szCs w:val="28"/>
        </w:rPr>
        <w:t>ой</w:t>
      </w:r>
      <w:r w:rsidR="001C6B9B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C6B9B">
        <w:rPr>
          <w:rFonts w:ascii="Times New Roman" w:eastAsia="Calibri" w:hAnsi="Times New Roman" w:cs="Times New Roman"/>
          <w:sz w:val="28"/>
          <w:szCs w:val="28"/>
        </w:rPr>
        <w:t>ы</w:t>
      </w:r>
      <w:r w:rsidR="001C6B9B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дальнейшую перспективу.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Основные направления бюджетной политики в части расходов бюджета.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Приоритетами при формировании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BD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12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государственного долга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недопущение образования кредиторской задолженности, выполнение всех социальных обязательств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как составная часть экономической политики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B0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обеспечение граждан качественным и доступным жильем, развитие жилищно-коммунального хозяйства;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массового спорта и спорта высших достижений;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инвестиционной привлекательности </w:t>
      </w:r>
      <w:r w:rsidR="001C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туризма;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работы и открытости органов власти.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целях повышения эффективности и открытости деятельности органов исполнительной власти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повышения результативности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мероприятий 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F1083E">
        <w:rPr>
          <w:rFonts w:ascii="Times New Roman" w:eastAsia="Calibri" w:hAnsi="Times New Roman" w:cs="Times New Roman"/>
          <w:sz w:val="28"/>
          <w:szCs w:val="28"/>
        </w:rPr>
        <w:t>ой</w:t>
      </w:r>
      <w:r w:rsidR="00F1083E" w:rsidRPr="00E83A7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1083E">
        <w:rPr>
          <w:rFonts w:ascii="Times New Roman" w:eastAsia="Calibri" w:hAnsi="Times New Roman" w:cs="Times New Roman"/>
          <w:sz w:val="28"/>
          <w:szCs w:val="28"/>
        </w:rPr>
        <w:t>ы</w:t>
      </w:r>
      <w:r w:rsidR="00942441">
        <w:rPr>
          <w:rFonts w:ascii="Times New Roman" w:eastAsia="Calibri" w:hAnsi="Times New Roman" w:cs="Times New Roman"/>
          <w:sz w:val="28"/>
          <w:szCs w:val="28"/>
        </w:rPr>
        <w:t>, деятельности органов местного самоуправления</w:t>
      </w:r>
      <w:r w:rsidR="00F1083E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в открытом доступе на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Добринского муниципального района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одним из элементов системы открытого в части финансовых показател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Основные направления политики в сфере межбюджетных отношений.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в области регулирования межбюджетных отношений в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останутся: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сбалансированности местных бюджетов;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муниципального долга;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устойчивой собственной доходной базы;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органами местного самоуправления бюджетного законодательства и повышение уровня финансовой дисциплины;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 за проводимую бюджетную политику.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поставленных задач планируется:</w:t>
      </w:r>
    </w:p>
    <w:p w:rsidR="003A69C0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практику использования нормативных расходов</w:t>
      </w:r>
    </w:p>
    <w:p w:rsidR="00905CCC" w:rsidRPr="00D77836" w:rsidRDefault="003A69C0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целях сокращения муниципального долга;</w:t>
      </w:r>
    </w:p>
    <w:p w:rsidR="00905CCC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расходы</w:t>
      </w:r>
    </w:p>
    <w:p w:rsidR="00F12CF2" w:rsidRPr="00D77836" w:rsidRDefault="00F12CF2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CCC" w:rsidRPr="00942441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итоги налоговой политики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0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3A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D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A69C0" w:rsidRPr="007A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3A69C0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поставлена задача существенного увеличения налоговых доходов бюджета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максимального использования налогового потенциала. Для реализации задачи по мобилизации налоговых и неналоговых доходов в бюджет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0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0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предусмотрены следующие направления деятельности: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налогоплательщиками для увеличения налоговой базы;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обеспечении эффективного администрирования налогов;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поступления неналоговых доходов.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егистрации права собственности и постановки на кадастровый учет земельных участков 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недвижимого имущества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:rsidR="002015BF" w:rsidRDefault="002015BF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сведений об объектах недвижимости – объектах капитального строительства, расположенных на территории </w:t>
      </w:r>
      <w:r w:rsidR="0020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задолженности по уплате налогов, зачисляемых в консолидированный бюджет области.</w:t>
      </w:r>
    </w:p>
    <w:p w:rsidR="00905CCC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увеличения собираемости налогов, для совершенствования администрирования на муниципальном уровне осуществляется работа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задолженность по обязательным платежам.</w:t>
      </w:r>
    </w:p>
    <w:p w:rsidR="00F12CF2" w:rsidRPr="00D77836" w:rsidRDefault="00F12CF2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F2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Основные направления налоговой политики на </w:t>
      </w:r>
      <w:r w:rsidR="00B0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905CCC" w:rsidRPr="004C3DFE" w:rsidRDefault="00905CCC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на плановый период </w:t>
      </w:r>
      <w:r w:rsidR="00B0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B01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2025</w:t>
      </w:r>
      <w:r w:rsidRPr="004C3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Инвентаризация объектов недвижимости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увеличения доходной базы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осуществление мероприятий по вовлечению в налогообложение объектов недвижимости – земельных участков: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технологий вовлечения в оборот земельных участков, владельцы которых неизвестны или отсутствуют.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действий в рамках муниципального земельного контроля и государственного земельного надзора.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технологии анализа пространственной информации об объектах налогообложения.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:rsidR="00905CCC" w:rsidRPr="00D77836" w:rsidRDefault="008B0F52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905CCC"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собираемости налогов, совершенствование администрирования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905CCC" w:rsidRPr="00D77836" w:rsidRDefault="00905CCC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 w:rsidR="008B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A38" w:rsidRPr="00D77836" w:rsidRDefault="007A0A38" w:rsidP="007D1C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0A38" w:rsidRPr="00D77836" w:rsidSect="00F12CF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CCC"/>
    <w:rsid w:val="00001BDC"/>
    <w:rsid w:val="0002334E"/>
    <w:rsid w:val="000A0DCE"/>
    <w:rsid w:val="0016657E"/>
    <w:rsid w:val="001A0807"/>
    <w:rsid w:val="001C6B9B"/>
    <w:rsid w:val="002015BF"/>
    <w:rsid w:val="002B03CC"/>
    <w:rsid w:val="002E38C8"/>
    <w:rsid w:val="00311EDE"/>
    <w:rsid w:val="00323949"/>
    <w:rsid w:val="003A69C0"/>
    <w:rsid w:val="003D3EC8"/>
    <w:rsid w:val="00407E5A"/>
    <w:rsid w:val="004C3DFE"/>
    <w:rsid w:val="004D0300"/>
    <w:rsid w:val="004F70C4"/>
    <w:rsid w:val="00562312"/>
    <w:rsid w:val="005C3336"/>
    <w:rsid w:val="005C73D4"/>
    <w:rsid w:val="005D2C58"/>
    <w:rsid w:val="005E448A"/>
    <w:rsid w:val="0061331D"/>
    <w:rsid w:val="00632457"/>
    <w:rsid w:val="00677E05"/>
    <w:rsid w:val="006C3199"/>
    <w:rsid w:val="006F6B6A"/>
    <w:rsid w:val="0072286C"/>
    <w:rsid w:val="00752336"/>
    <w:rsid w:val="00770887"/>
    <w:rsid w:val="007A0A38"/>
    <w:rsid w:val="007A555A"/>
    <w:rsid w:val="007D1CBC"/>
    <w:rsid w:val="00845529"/>
    <w:rsid w:val="00855C2F"/>
    <w:rsid w:val="008B0F52"/>
    <w:rsid w:val="008B6855"/>
    <w:rsid w:val="00905CCC"/>
    <w:rsid w:val="00942441"/>
    <w:rsid w:val="0097670B"/>
    <w:rsid w:val="009A44D6"/>
    <w:rsid w:val="009C3599"/>
    <w:rsid w:val="00A075F8"/>
    <w:rsid w:val="00A17983"/>
    <w:rsid w:val="00A474C9"/>
    <w:rsid w:val="00B0111E"/>
    <w:rsid w:val="00BA2AA5"/>
    <w:rsid w:val="00BD16B8"/>
    <w:rsid w:val="00C21333"/>
    <w:rsid w:val="00C56485"/>
    <w:rsid w:val="00C730F4"/>
    <w:rsid w:val="00C755A5"/>
    <w:rsid w:val="00C755C3"/>
    <w:rsid w:val="00CD15F2"/>
    <w:rsid w:val="00D21508"/>
    <w:rsid w:val="00D241B0"/>
    <w:rsid w:val="00D269BC"/>
    <w:rsid w:val="00D279F3"/>
    <w:rsid w:val="00D77836"/>
    <w:rsid w:val="00DE28A2"/>
    <w:rsid w:val="00E17ACA"/>
    <w:rsid w:val="00E57B3B"/>
    <w:rsid w:val="00E83A7D"/>
    <w:rsid w:val="00EE3506"/>
    <w:rsid w:val="00EE456A"/>
    <w:rsid w:val="00EE556C"/>
    <w:rsid w:val="00F1083E"/>
    <w:rsid w:val="00F12CF2"/>
    <w:rsid w:val="00F2526F"/>
    <w:rsid w:val="00F3657E"/>
    <w:rsid w:val="00F9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8"/>
  </w:style>
  <w:style w:type="paragraph" w:styleId="2">
    <w:name w:val="heading 2"/>
    <w:basedOn w:val="a"/>
    <w:link w:val="20"/>
    <w:uiPriority w:val="9"/>
    <w:qFormat/>
    <w:rsid w:val="009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5C73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C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93252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652B61A08AAD3C032A6100B09199BB80E3854199E581C36029E2C8772CDA3832A8352243ED9D8Ct14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52B61A08AAD3C032A6100B09199BB80E3854199E581C36029E2C8772CDA3832A8352243ED9D8Ft14A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9F5-5755-47D4-A1A8-F985ABFA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2022-11-23T08:40:00Z</cp:lastPrinted>
  <dcterms:created xsi:type="dcterms:W3CDTF">2022-11-23T10:42:00Z</dcterms:created>
  <dcterms:modified xsi:type="dcterms:W3CDTF">2022-11-23T11:06:00Z</dcterms:modified>
</cp:coreProperties>
</file>