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3B" w:rsidRPr="00E91B9F" w:rsidRDefault="005C73D4" w:rsidP="00E5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0AD9">
        <w:rPr>
          <w:szCs w:val="28"/>
        </w:rPr>
        <w:t xml:space="preserve">  </w:t>
      </w:r>
      <w:r w:rsidR="00E57B3B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Пушкинский</w:t>
      </w:r>
      <w:r w:rsidRPr="00E91B9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Российской Федерации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57B3B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199">
        <w:rPr>
          <w:rFonts w:ascii="Times New Roman" w:hAnsi="Times New Roman"/>
          <w:sz w:val="28"/>
          <w:szCs w:val="28"/>
        </w:rPr>
        <w:t>01</w:t>
      </w:r>
      <w:r w:rsidRPr="00632457">
        <w:rPr>
          <w:rFonts w:ascii="Times New Roman" w:hAnsi="Times New Roman"/>
          <w:sz w:val="28"/>
          <w:szCs w:val="28"/>
        </w:rPr>
        <w:t>.12.</w:t>
      </w:r>
      <w:r w:rsidR="00BD16B8" w:rsidRPr="00632457">
        <w:rPr>
          <w:rFonts w:ascii="Times New Roman" w:hAnsi="Times New Roman"/>
          <w:sz w:val="28"/>
          <w:szCs w:val="28"/>
        </w:rPr>
        <w:t>202</w:t>
      </w:r>
      <w:r w:rsidR="00A17983">
        <w:rPr>
          <w:rFonts w:ascii="Times New Roman" w:hAnsi="Times New Roman"/>
          <w:sz w:val="28"/>
          <w:szCs w:val="28"/>
        </w:rPr>
        <w:t>1</w:t>
      </w:r>
      <w:r w:rsidRPr="00632457">
        <w:rPr>
          <w:rFonts w:ascii="Times New Roman" w:hAnsi="Times New Roman"/>
          <w:sz w:val="28"/>
          <w:szCs w:val="28"/>
        </w:rPr>
        <w:t xml:space="preserve">                           с. Пушкино                                           №</w:t>
      </w:r>
      <w:r w:rsidR="0016657E" w:rsidRPr="00632457">
        <w:rPr>
          <w:rFonts w:ascii="Times New Roman" w:hAnsi="Times New Roman"/>
          <w:sz w:val="28"/>
          <w:szCs w:val="28"/>
        </w:rPr>
        <w:t xml:space="preserve"> </w:t>
      </w:r>
      <w:r w:rsidR="006C3199">
        <w:rPr>
          <w:rFonts w:ascii="Times New Roman" w:hAnsi="Times New Roman"/>
          <w:sz w:val="28"/>
          <w:szCs w:val="28"/>
        </w:rPr>
        <w:t>87</w:t>
      </w:r>
    </w:p>
    <w:p w:rsidR="00E57B3B" w:rsidRPr="00632457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сельского поселения Пушкинский сельсовет на 20</w:t>
      </w:r>
      <w:r w:rsidR="0016657E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6C3199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2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год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и  плановый период 202</w:t>
      </w:r>
      <w:r w:rsidR="00A17983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и 202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E57B3B" w:rsidRPr="00632457" w:rsidRDefault="00E57B3B" w:rsidP="00E57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4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32457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3245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сельского поселения Пушкинский сельсовет Добринского муниципального района Липецкой области Российской Федерации на 20</w:t>
      </w:r>
      <w:r w:rsidR="0016657E" w:rsidRPr="00632457">
        <w:rPr>
          <w:rFonts w:ascii="Times New Roman" w:hAnsi="Times New Roman" w:cs="Times New Roman"/>
          <w:sz w:val="28"/>
          <w:szCs w:val="28"/>
        </w:rPr>
        <w:t>2</w:t>
      </w:r>
      <w:r w:rsidR="006C3199">
        <w:rPr>
          <w:rFonts w:ascii="Times New Roman" w:hAnsi="Times New Roman" w:cs="Times New Roman"/>
          <w:sz w:val="28"/>
          <w:szCs w:val="28"/>
        </w:rPr>
        <w:t>2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C3199">
        <w:rPr>
          <w:rFonts w:ascii="Times New Roman" w:hAnsi="Times New Roman" w:cs="Times New Roman"/>
          <w:sz w:val="28"/>
          <w:szCs w:val="28"/>
        </w:rPr>
        <w:t>3</w:t>
      </w:r>
      <w:r w:rsidR="0016657E" w:rsidRPr="00632457">
        <w:rPr>
          <w:rFonts w:ascii="Times New Roman" w:hAnsi="Times New Roman" w:cs="Times New Roman"/>
          <w:sz w:val="28"/>
          <w:szCs w:val="28"/>
        </w:rPr>
        <w:t xml:space="preserve"> </w:t>
      </w:r>
      <w:r w:rsidRPr="00632457">
        <w:rPr>
          <w:rFonts w:ascii="Times New Roman" w:hAnsi="Times New Roman" w:cs="Times New Roman"/>
          <w:sz w:val="28"/>
          <w:szCs w:val="28"/>
        </w:rPr>
        <w:t>и 202</w:t>
      </w:r>
      <w:r w:rsidR="006C3199">
        <w:rPr>
          <w:rFonts w:ascii="Times New Roman" w:hAnsi="Times New Roman" w:cs="Times New Roman"/>
          <w:sz w:val="28"/>
          <w:szCs w:val="28"/>
        </w:rPr>
        <w:t>4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6324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Пушкинский сельсовет 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политики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16657E"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31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6C319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6C319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приложению.</w:t>
      </w:r>
    </w:p>
    <w:p w:rsidR="00E57B3B" w:rsidRPr="00632457" w:rsidRDefault="00E57B3B" w:rsidP="00E57B3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его официального обнародования.</w:t>
      </w:r>
    </w:p>
    <w:p w:rsidR="00E57B3B" w:rsidRPr="00632457" w:rsidRDefault="00E57B3B" w:rsidP="00E5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57B3B" w:rsidRPr="00632457" w:rsidRDefault="00E57B3B" w:rsidP="00E57B3B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Демихова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E57B3B" w:rsidRPr="00632457" w:rsidRDefault="00A075F8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 xml:space="preserve">от </w:t>
      </w:r>
      <w:r w:rsidR="006C3199">
        <w:rPr>
          <w:rFonts w:ascii="Times New Roman" w:hAnsi="Times New Roman" w:cs="Times New Roman"/>
          <w:sz w:val="24"/>
          <w:szCs w:val="24"/>
        </w:rPr>
        <w:t>01</w:t>
      </w:r>
      <w:r w:rsidRPr="00632457">
        <w:rPr>
          <w:rFonts w:ascii="Times New Roman" w:hAnsi="Times New Roman" w:cs="Times New Roman"/>
          <w:sz w:val="24"/>
          <w:szCs w:val="24"/>
        </w:rPr>
        <w:t>.12 202</w:t>
      </w:r>
      <w:r w:rsidR="006C3199">
        <w:rPr>
          <w:rFonts w:ascii="Times New Roman" w:hAnsi="Times New Roman" w:cs="Times New Roman"/>
          <w:sz w:val="24"/>
          <w:szCs w:val="24"/>
        </w:rPr>
        <w:t>1</w:t>
      </w:r>
      <w:r w:rsidRPr="00632457">
        <w:rPr>
          <w:rFonts w:ascii="Times New Roman" w:hAnsi="Times New Roman" w:cs="Times New Roman"/>
          <w:sz w:val="24"/>
          <w:szCs w:val="24"/>
        </w:rPr>
        <w:t xml:space="preserve">г. № </w:t>
      </w:r>
      <w:r w:rsidR="006C3199">
        <w:rPr>
          <w:rFonts w:ascii="Times New Roman" w:hAnsi="Times New Roman" w:cs="Times New Roman"/>
          <w:sz w:val="24"/>
          <w:szCs w:val="24"/>
        </w:rPr>
        <w:t>87</w:t>
      </w:r>
      <w:r w:rsidR="00E57B3B" w:rsidRPr="006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CC" w:rsidRPr="00632457" w:rsidRDefault="005C73D4" w:rsidP="007D1CBC">
      <w:pPr>
        <w:pStyle w:val="a4"/>
        <w:ind w:firstLine="567"/>
        <w:rPr>
          <w:sz w:val="28"/>
          <w:szCs w:val="28"/>
        </w:rPr>
      </w:pPr>
      <w:r w:rsidRPr="00632457">
        <w:rPr>
          <w:szCs w:val="28"/>
        </w:rPr>
        <w:t xml:space="preserve">      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5C73D4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Пушкинский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670B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C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C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в соответствии с требованиями Бюджетного кодекса Российской Федерации 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принятого решением Совета депутатов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-рс.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20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базой для формирования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определяют стратегию действий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расходов бюджета и межбюджетных отношений.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наиболее эффективным способом.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итоги бюджетной политики 202</w:t>
      </w:r>
      <w:r w:rsidR="009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экономика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:rsidR="007A555A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выполняются бюджетные обязательства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сельским поселением</w:t>
      </w:r>
    </w:p>
    <w:p w:rsidR="00905CCC" w:rsidRPr="00632457" w:rsidRDefault="007A555A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б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9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13288413,51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плану),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13431313,51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плану),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142900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расходов бюджета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следующая: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4136315,90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расходов</w:t>
      </w:r>
      <w:proofErr w:type="gramStart"/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оборона-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87900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что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0,65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939594,00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–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4086036,39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30,42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расходов, культура -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4045851,66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30,12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расходов, 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живание государственного долга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0,004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05CCC" w:rsidRPr="00632457" w:rsidRDefault="00E83A7D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Calibri" w:hAnsi="Times New Roman" w:cs="Times New Roman"/>
          <w:sz w:val="28"/>
          <w:szCs w:val="28"/>
        </w:rPr>
        <w:t>В сельском поселении принята муниципальная программа «Устойчи</w:t>
      </w:r>
      <w:bookmarkStart w:id="0" w:name="_GoBack"/>
      <w:bookmarkEnd w:id="0"/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вое развитие территории сельского поселения </w:t>
      </w:r>
      <w:r w:rsidR="007D1CBC" w:rsidRPr="00632457">
        <w:rPr>
          <w:rFonts w:ascii="Times New Roman" w:eastAsia="Calibri" w:hAnsi="Times New Roman" w:cs="Times New Roman"/>
          <w:sz w:val="28"/>
          <w:szCs w:val="28"/>
        </w:rPr>
        <w:t>Пушкинский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сельсовет на 20</w:t>
      </w:r>
      <w:r w:rsidR="00CD15F2" w:rsidRPr="00632457">
        <w:rPr>
          <w:rFonts w:ascii="Times New Roman" w:eastAsia="Calibri" w:hAnsi="Times New Roman" w:cs="Times New Roman"/>
          <w:sz w:val="28"/>
          <w:szCs w:val="28"/>
        </w:rPr>
        <w:t>1</w:t>
      </w:r>
      <w:r w:rsidR="00BD16B8" w:rsidRPr="00632457">
        <w:rPr>
          <w:rFonts w:ascii="Times New Roman" w:eastAsia="Calibri" w:hAnsi="Times New Roman" w:cs="Times New Roman"/>
          <w:sz w:val="28"/>
          <w:szCs w:val="28"/>
        </w:rPr>
        <w:t>9</w:t>
      </w:r>
      <w:r w:rsidRPr="00632457">
        <w:rPr>
          <w:rFonts w:ascii="Times New Roman" w:eastAsia="Calibri" w:hAnsi="Times New Roman" w:cs="Times New Roman"/>
          <w:sz w:val="28"/>
          <w:szCs w:val="28"/>
        </w:rPr>
        <w:t>-202</w:t>
      </w:r>
      <w:r w:rsidR="00BD16B8" w:rsidRPr="00632457">
        <w:rPr>
          <w:rFonts w:ascii="Times New Roman" w:eastAsia="Calibri" w:hAnsi="Times New Roman" w:cs="Times New Roman"/>
          <w:sz w:val="28"/>
          <w:szCs w:val="28"/>
        </w:rPr>
        <w:t>4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бюджета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9282,4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16B8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7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– максимальн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сбор налоговых и неналоговых доходов,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средств </w:t>
      </w:r>
      <w:proofErr w:type="gramStart"/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внебюджетных источников.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задачи и направления бюджетной политики на 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1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 w:rsidR="00001BDC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</w:t>
      </w:r>
      <w:r w:rsidR="000A0DCE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1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задачи бюджетной политики.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экономические условия, с одной стороны, еще больше усиливают социальную нагрузку на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с другой - крайне отрицательно влияют на поступление 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доходов. В связи с этим обеспечение финансирования всех социальных обязатель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ближайших лет по повышению эффективности бюджетных расходов являются: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бюджетных расходов с учетом возможностей доходной базы бюджета;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бюджет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их достижения;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всех возможностей для привлечения средств внебюджетных источников, а также средств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бюджета, в первую очередь с наиболее высокой долей софинансирования;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поддержки наиболее социально незащищенным категориям граждан;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перечня государственных услуг, оказываемых в электронном виде;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процедур проведения государственных закупок;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методологии разработки </w:t>
      </w:r>
      <w:r w:rsidR="00E83A7D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83A7D"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эффективности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будут продолжены по следующим направлениям: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обязательное отражение в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е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должно обеспечить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приоритетное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планирования значений целевых показателей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объемов финансирования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трехлетнего бюджета в соответствии с долгосрочным бюджетным прогнозом;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комплексной оценки эффективности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включающей оценку эффективности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разрезе подпрограмм, оценку финансового обеспечения и качества планирования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такой оценки должны учитываться при формировании параметров финансового обеспечения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дальнейшую перспективу.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Основные направления бюджетной политики в части расходов бюджета.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Приоритетами при формировании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государственного долга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недопущение образования кредиторской задолженности, выполнение всех социальных обязательств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как составная часть экономической политики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</w:t>
      </w:r>
      <w:r w:rsidR="00A1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обеспечение граждан качественным и доступным жильем, развитие жилищно-коммунального хозяйства;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массового спорта и спорта высших достижений;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инвестиционной привлекательности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туризма;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работы и открытости органов власти.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целях повышения эффективности и открытости деятельности органов исполнительной власти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результативности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мероприятий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="00942441">
        <w:rPr>
          <w:rFonts w:ascii="Times New Roman" w:eastAsia="Calibri" w:hAnsi="Times New Roman" w:cs="Times New Roman"/>
          <w:sz w:val="28"/>
          <w:szCs w:val="28"/>
        </w:rPr>
        <w:t>, деятельности органов местного самоуправления</w:t>
      </w:r>
      <w:r w:rsidR="00F1083E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в открытом доступе на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Добринского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одним из элементов системы открытого в части финансовых показател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Основные направления политики в сфере межбюджетных отношений.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в области регулирования межбюджетных отношений в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сбалансированности местных бюджетов;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муниципального долга;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устойчивой собственной доходной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органами местного самоуправления бюджетного законодательства и повышение уровня финансовой дисциплины;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 за проводимую бюджетную политику.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поставленных задач планируется:</w:t>
      </w:r>
    </w:p>
    <w:p w:rsidR="003A69C0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практику использования нормативных расходов</w:t>
      </w:r>
    </w:p>
    <w:p w:rsidR="00905CCC" w:rsidRPr="00D77836" w:rsidRDefault="003A69C0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целях сокращения муниципального долга;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расходы</w:t>
      </w:r>
    </w:p>
    <w:p w:rsidR="00905CCC" w:rsidRPr="00942441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итоги налоговой политики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1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1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D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3A69C0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поставлена задача существенного увеличения 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максимального использования налогового потенциала. Для реализации задачи по мобилизации 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неналоговых доходов в бюджет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1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A1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предусмотрены следующие направления деятельности: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налогоплательщиками для увеличения налоговой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обеспечении эффективного администрирования налогов;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поступления неналоговых доходов.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егистрации права собственности и постановки на кадастровый учет земельных участков 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:rsidR="002015BF" w:rsidRDefault="002015BF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побуждения их к осуществлению процедуры государственной регистрации прав на землю. 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задолженности по уплате налогов, зачисляемых в консолидированный бюджет области.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задолженность по обязательным платежам.</w:t>
      </w:r>
    </w:p>
    <w:p w:rsidR="00905CCC" w:rsidRPr="004C3DFE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Основные направления налоговой политики на </w:t>
      </w:r>
      <w:r w:rsidR="00BD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A17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A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7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A17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Инвентаризация объектов недвижимости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доходной базы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осуществление мероприятий по вовлечению в налогообложение объектов недвижимости – земельных участков: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технологий вовлечения в оборот земельных участков, владельцы которых неизвестны или отсутствуют.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действий в рамках муниципального земельного контроля и государственного земельного надзора.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анализа пространственной информации об объектах налогообложения.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:rsidR="00905CCC" w:rsidRPr="00D77836" w:rsidRDefault="008B0F5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собираемости налогов, совершенствование администрирования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A38" w:rsidRPr="00D77836" w:rsidRDefault="007A0A38" w:rsidP="007D1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0A38" w:rsidRPr="00D77836" w:rsidSect="00E57B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C"/>
    <w:rsid w:val="00001BDC"/>
    <w:rsid w:val="0002334E"/>
    <w:rsid w:val="000A0DCE"/>
    <w:rsid w:val="0016657E"/>
    <w:rsid w:val="001A0807"/>
    <w:rsid w:val="001C6B9B"/>
    <w:rsid w:val="002015BF"/>
    <w:rsid w:val="00311EDE"/>
    <w:rsid w:val="00323949"/>
    <w:rsid w:val="003A69C0"/>
    <w:rsid w:val="003D3EC8"/>
    <w:rsid w:val="00407E5A"/>
    <w:rsid w:val="004C3DFE"/>
    <w:rsid w:val="004D0300"/>
    <w:rsid w:val="00562312"/>
    <w:rsid w:val="005C73D4"/>
    <w:rsid w:val="005D2C58"/>
    <w:rsid w:val="005E448A"/>
    <w:rsid w:val="0061331D"/>
    <w:rsid w:val="00632457"/>
    <w:rsid w:val="00677E05"/>
    <w:rsid w:val="006C3199"/>
    <w:rsid w:val="006F6B6A"/>
    <w:rsid w:val="0072286C"/>
    <w:rsid w:val="00752336"/>
    <w:rsid w:val="00770887"/>
    <w:rsid w:val="007A0A38"/>
    <w:rsid w:val="007A555A"/>
    <w:rsid w:val="007D1CBC"/>
    <w:rsid w:val="00845529"/>
    <w:rsid w:val="00855C2F"/>
    <w:rsid w:val="008B0F52"/>
    <w:rsid w:val="008B6855"/>
    <w:rsid w:val="00905CCC"/>
    <w:rsid w:val="00942441"/>
    <w:rsid w:val="0097670B"/>
    <w:rsid w:val="009A44D6"/>
    <w:rsid w:val="00A075F8"/>
    <w:rsid w:val="00A17983"/>
    <w:rsid w:val="00A474C9"/>
    <w:rsid w:val="00BA2AA5"/>
    <w:rsid w:val="00BD16B8"/>
    <w:rsid w:val="00C21333"/>
    <w:rsid w:val="00C56485"/>
    <w:rsid w:val="00C730F4"/>
    <w:rsid w:val="00C755A5"/>
    <w:rsid w:val="00C755C3"/>
    <w:rsid w:val="00CD15F2"/>
    <w:rsid w:val="00D21508"/>
    <w:rsid w:val="00D241B0"/>
    <w:rsid w:val="00D269BC"/>
    <w:rsid w:val="00D279F3"/>
    <w:rsid w:val="00D77836"/>
    <w:rsid w:val="00DE28A2"/>
    <w:rsid w:val="00E17ACA"/>
    <w:rsid w:val="00E57B3B"/>
    <w:rsid w:val="00E83A7D"/>
    <w:rsid w:val="00EE3506"/>
    <w:rsid w:val="00EE456A"/>
    <w:rsid w:val="00EE556C"/>
    <w:rsid w:val="00F1083E"/>
    <w:rsid w:val="00F2526F"/>
    <w:rsid w:val="00F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8"/>
  </w:style>
  <w:style w:type="paragraph" w:styleId="2">
    <w:name w:val="heading 2"/>
    <w:basedOn w:val="a"/>
    <w:link w:val="20"/>
    <w:uiPriority w:val="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C7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25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52B61A08AAD3C032A6100B09199BB80E3854199E581C36029E2C8772CDA3832A8352243ED9D8Ct14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52B61A08AAD3C032A6100B09199BB80E3854199E581C36029E2C8772CDA3832A8352243ED9D8Ft14A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DB8A-D07A-4960-92B8-E1FADA6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2018-12-25T13:28:00Z</cp:lastPrinted>
  <dcterms:created xsi:type="dcterms:W3CDTF">2017-11-08T05:34:00Z</dcterms:created>
  <dcterms:modified xsi:type="dcterms:W3CDTF">2021-12-14T00:33:00Z</dcterms:modified>
</cp:coreProperties>
</file>