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3B" w:rsidRPr="00E91B9F" w:rsidRDefault="005C73D4" w:rsidP="00E57B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950AD9">
        <w:rPr>
          <w:szCs w:val="28"/>
        </w:rPr>
        <w:t xml:space="preserve">  </w:t>
      </w:r>
      <w:r w:rsidR="00E57B3B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-377190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7B3B" w:rsidRPr="00E91B9F" w:rsidRDefault="00E57B3B" w:rsidP="00E57B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57B3B" w:rsidRPr="00E91B9F" w:rsidRDefault="00E57B3B" w:rsidP="00E57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B9F">
        <w:rPr>
          <w:rFonts w:ascii="Times New Roman" w:hAnsi="Times New Roman"/>
          <w:b/>
          <w:sz w:val="28"/>
          <w:szCs w:val="28"/>
        </w:rPr>
        <w:t>ПОСТАНОВЛЕНИЕ</w:t>
      </w:r>
    </w:p>
    <w:p w:rsidR="00E57B3B" w:rsidRPr="00E91B9F" w:rsidRDefault="00E57B3B" w:rsidP="00E57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B9F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E57B3B" w:rsidRPr="00E91B9F" w:rsidRDefault="00E57B3B" w:rsidP="00E57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Пушкинский</w:t>
      </w:r>
      <w:r w:rsidRPr="00E91B9F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E57B3B" w:rsidRPr="00E91B9F" w:rsidRDefault="00E57B3B" w:rsidP="00E57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B9F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E57B3B" w:rsidRPr="00E91B9F" w:rsidRDefault="00E57B3B" w:rsidP="00E57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B9F">
        <w:rPr>
          <w:rFonts w:ascii="Times New Roman" w:hAnsi="Times New Roman"/>
          <w:sz w:val="28"/>
          <w:szCs w:val="28"/>
        </w:rPr>
        <w:t>Российской Федерации</w:t>
      </w:r>
    </w:p>
    <w:p w:rsidR="00E57B3B" w:rsidRPr="00E91B9F" w:rsidRDefault="00E57B3B" w:rsidP="00E57B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57B3B" w:rsidRPr="00632457" w:rsidRDefault="00E57B3B" w:rsidP="00E57B3B">
      <w:pPr>
        <w:tabs>
          <w:tab w:val="left" w:pos="6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67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075F8" w:rsidRPr="00632457">
        <w:rPr>
          <w:rFonts w:ascii="Times New Roman" w:hAnsi="Times New Roman"/>
          <w:sz w:val="28"/>
          <w:szCs w:val="28"/>
        </w:rPr>
        <w:t>16</w:t>
      </w:r>
      <w:r w:rsidRPr="00632457">
        <w:rPr>
          <w:rFonts w:ascii="Times New Roman" w:hAnsi="Times New Roman"/>
          <w:sz w:val="28"/>
          <w:szCs w:val="28"/>
        </w:rPr>
        <w:t>.12.</w:t>
      </w:r>
      <w:r w:rsidR="00BD16B8" w:rsidRPr="00632457">
        <w:rPr>
          <w:rFonts w:ascii="Times New Roman" w:hAnsi="Times New Roman"/>
          <w:sz w:val="28"/>
          <w:szCs w:val="28"/>
        </w:rPr>
        <w:t>202</w:t>
      </w:r>
      <w:r w:rsidR="00A075F8" w:rsidRPr="00632457">
        <w:rPr>
          <w:rFonts w:ascii="Times New Roman" w:hAnsi="Times New Roman"/>
          <w:sz w:val="28"/>
          <w:szCs w:val="28"/>
        </w:rPr>
        <w:t>0</w:t>
      </w:r>
      <w:r w:rsidRPr="00632457">
        <w:rPr>
          <w:rFonts w:ascii="Times New Roman" w:hAnsi="Times New Roman"/>
          <w:sz w:val="28"/>
          <w:szCs w:val="28"/>
        </w:rPr>
        <w:t xml:space="preserve">                           с. Пушкино                                           №</w:t>
      </w:r>
      <w:r w:rsidR="0016657E" w:rsidRPr="00632457">
        <w:rPr>
          <w:rFonts w:ascii="Times New Roman" w:hAnsi="Times New Roman"/>
          <w:sz w:val="28"/>
          <w:szCs w:val="28"/>
        </w:rPr>
        <w:t xml:space="preserve"> </w:t>
      </w:r>
      <w:r w:rsidR="00A075F8" w:rsidRPr="00632457">
        <w:rPr>
          <w:rFonts w:ascii="Times New Roman" w:hAnsi="Times New Roman"/>
          <w:sz w:val="28"/>
          <w:szCs w:val="28"/>
        </w:rPr>
        <w:t>99</w:t>
      </w:r>
    </w:p>
    <w:p w:rsidR="00E57B3B" w:rsidRPr="00632457" w:rsidRDefault="00E57B3B" w:rsidP="00E57B3B">
      <w:pPr>
        <w:tabs>
          <w:tab w:val="left" w:pos="65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7B3B" w:rsidRPr="00632457" w:rsidRDefault="00E57B3B" w:rsidP="00E57B3B">
      <w:pPr>
        <w:keepNext/>
        <w:tabs>
          <w:tab w:val="num" w:pos="432"/>
        </w:tabs>
        <w:suppressAutoHyphens/>
        <w:spacing w:after="0" w:line="240" w:lineRule="auto"/>
        <w:ind w:left="-454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63245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Об основных направлениях бюджетной и налоговой политики</w:t>
      </w:r>
    </w:p>
    <w:p w:rsidR="00E57B3B" w:rsidRPr="00632457" w:rsidRDefault="00E57B3B" w:rsidP="00E57B3B">
      <w:pPr>
        <w:keepNext/>
        <w:tabs>
          <w:tab w:val="num" w:pos="432"/>
        </w:tabs>
        <w:suppressAutoHyphens/>
        <w:spacing w:after="0" w:line="240" w:lineRule="auto"/>
        <w:ind w:left="-454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63245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сельского поселения Пушкинский сельсовет на 20</w:t>
      </w:r>
      <w:r w:rsidR="0016657E" w:rsidRPr="0063245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A075F8" w:rsidRPr="0063245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1</w:t>
      </w:r>
      <w:r w:rsidR="0016657E" w:rsidRPr="0063245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</w:t>
      </w:r>
      <w:r w:rsidRPr="0063245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год</w:t>
      </w:r>
    </w:p>
    <w:p w:rsidR="00E57B3B" w:rsidRPr="00632457" w:rsidRDefault="00E57B3B" w:rsidP="00E57B3B">
      <w:pPr>
        <w:keepNext/>
        <w:tabs>
          <w:tab w:val="num" w:pos="432"/>
        </w:tabs>
        <w:suppressAutoHyphens/>
        <w:spacing w:after="0" w:line="240" w:lineRule="auto"/>
        <w:ind w:left="-454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63245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и  плановый период 202</w:t>
      </w:r>
      <w:r w:rsidR="00A075F8" w:rsidRPr="0063245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2 </w:t>
      </w:r>
      <w:r w:rsidRPr="0063245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и 202</w:t>
      </w:r>
      <w:r w:rsidR="00A075F8" w:rsidRPr="0063245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3</w:t>
      </w:r>
      <w:r w:rsidRPr="0063245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годов</w:t>
      </w:r>
    </w:p>
    <w:p w:rsidR="00E57B3B" w:rsidRPr="00632457" w:rsidRDefault="00E57B3B" w:rsidP="00E57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57B3B" w:rsidRPr="00632457" w:rsidRDefault="00E57B3B" w:rsidP="00E57B3B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245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632457">
          <w:rPr>
            <w:rFonts w:ascii="Times New Roman" w:hAnsi="Times New Roman" w:cs="Times New Roman"/>
            <w:sz w:val="28"/>
            <w:szCs w:val="28"/>
          </w:rPr>
          <w:t>статьями 172</w:t>
        </w:r>
      </w:hyperlink>
      <w:r w:rsidRPr="0063245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32457">
          <w:rPr>
            <w:rFonts w:ascii="Times New Roman" w:hAnsi="Times New Roman" w:cs="Times New Roman"/>
            <w:sz w:val="28"/>
            <w:szCs w:val="28"/>
          </w:rPr>
          <w:t>184.2</w:t>
        </w:r>
      </w:hyperlink>
      <w:r w:rsidRPr="006324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составления проекта бюджета сельского поселения Пушкинский сельсовет Добринского муниципального района Липецкой области Российской Федерации на 20</w:t>
      </w:r>
      <w:r w:rsidR="0016657E" w:rsidRPr="00632457">
        <w:rPr>
          <w:rFonts w:ascii="Times New Roman" w:hAnsi="Times New Roman" w:cs="Times New Roman"/>
          <w:sz w:val="28"/>
          <w:szCs w:val="28"/>
        </w:rPr>
        <w:t>2</w:t>
      </w:r>
      <w:r w:rsidR="00A075F8" w:rsidRPr="00632457">
        <w:rPr>
          <w:rFonts w:ascii="Times New Roman" w:hAnsi="Times New Roman" w:cs="Times New Roman"/>
          <w:sz w:val="28"/>
          <w:szCs w:val="28"/>
        </w:rPr>
        <w:t>1</w:t>
      </w:r>
      <w:r w:rsidRPr="0063245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075F8" w:rsidRPr="00632457">
        <w:rPr>
          <w:rFonts w:ascii="Times New Roman" w:hAnsi="Times New Roman" w:cs="Times New Roman"/>
          <w:sz w:val="28"/>
          <w:szCs w:val="28"/>
        </w:rPr>
        <w:t>2</w:t>
      </w:r>
      <w:r w:rsidR="0016657E" w:rsidRPr="00632457">
        <w:rPr>
          <w:rFonts w:ascii="Times New Roman" w:hAnsi="Times New Roman" w:cs="Times New Roman"/>
          <w:sz w:val="28"/>
          <w:szCs w:val="28"/>
        </w:rPr>
        <w:t xml:space="preserve"> </w:t>
      </w:r>
      <w:r w:rsidRPr="00632457">
        <w:rPr>
          <w:rFonts w:ascii="Times New Roman" w:hAnsi="Times New Roman" w:cs="Times New Roman"/>
          <w:sz w:val="28"/>
          <w:szCs w:val="28"/>
        </w:rPr>
        <w:t>и 202</w:t>
      </w:r>
      <w:r w:rsidR="00A075F8" w:rsidRPr="00632457">
        <w:rPr>
          <w:rFonts w:ascii="Times New Roman" w:hAnsi="Times New Roman" w:cs="Times New Roman"/>
          <w:sz w:val="28"/>
          <w:szCs w:val="28"/>
        </w:rPr>
        <w:t>3</w:t>
      </w:r>
      <w:r w:rsidRPr="00632457">
        <w:rPr>
          <w:rFonts w:ascii="Times New Roman" w:hAnsi="Times New Roman" w:cs="Times New Roman"/>
          <w:sz w:val="28"/>
          <w:szCs w:val="28"/>
        </w:rPr>
        <w:t xml:space="preserve"> годов, </w:t>
      </w:r>
      <w:r w:rsidRPr="0063245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администрация </w:t>
      </w:r>
      <w:r w:rsidRPr="0063245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Пушкинский сельсовет </w:t>
      </w:r>
    </w:p>
    <w:p w:rsidR="00E57B3B" w:rsidRPr="00632457" w:rsidRDefault="00E57B3B" w:rsidP="00E57B3B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7B3B" w:rsidRPr="00632457" w:rsidRDefault="00E57B3B" w:rsidP="00E57B3B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4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245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Pr="0063245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57B3B" w:rsidRPr="00632457" w:rsidRDefault="00E57B3B" w:rsidP="00E57B3B">
      <w:pPr>
        <w:keepNext/>
        <w:tabs>
          <w:tab w:val="num" w:pos="0"/>
        </w:tabs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57B3B" w:rsidRPr="00632457" w:rsidRDefault="00E57B3B" w:rsidP="00E57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2457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63245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Утвердить основные направления бюджетной и налоговой политики </w:t>
      </w:r>
      <w:r w:rsidRPr="006324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Пушкинский сельсовет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</w:t>
      </w:r>
      <w:r w:rsidR="0016657E" w:rsidRPr="0063245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7670B" w:rsidRPr="0063245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97670B" w:rsidRPr="0063245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97670B" w:rsidRPr="0063245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приложению.</w:t>
      </w:r>
    </w:p>
    <w:p w:rsidR="00E57B3B" w:rsidRPr="00632457" w:rsidRDefault="00E57B3B" w:rsidP="00E57B3B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245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ar-SA"/>
        </w:rPr>
        <w:t>.Настоящее постановление вступает в силу со дня его официального обнародования.</w:t>
      </w:r>
    </w:p>
    <w:p w:rsidR="00E57B3B" w:rsidRPr="00632457" w:rsidRDefault="00E57B3B" w:rsidP="00E5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57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63245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3245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57B3B" w:rsidRPr="00632457" w:rsidRDefault="00E57B3B" w:rsidP="00E57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B3B" w:rsidRPr="00632457" w:rsidRDefault="00E57B3B" w:rsidP="00E57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B3B" w:rsidRPr="00632457" w:rsidRDefault="00E57B3B" w:rsidP="00E57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57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E57B3B" w:rsidRPr="00632457" w:rsidRDefault="00E57B3B" w:rsidP="00E57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5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E57B3B" w:rsidRPr="00632457" w:rsidRDefault="00E57B3B" w:rsidP="00E57B3B">
      <w:pPr>
        <w:tabs>
          <w:tab w:val="left" w:pos="7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57">
        <w:rPr>
          <w:rFonts w:ascii="Times New Roman" w:eastAsia="Times New Roman" w:hAnsi="Times New Roman" w:cs="Times New Roman"/>
          <w:sz w:val="28"/>
          <w:szCs w:val="28"/>
        </w:rPr>
        <w:t>Пушкинский сельсовет</w:t>
      </w:r>
      <w:r w:rsidRPr="00632457">
        <w:rPr>
          <w:rFonts w:ascii="Times New Roman" w:eastAsia="Times New Roman" w:hAnsi="Times New Roman" w:cs="Times New Roman"/>
          <w:sz w:val="28"/>
          <w:szCs w:val="28"/>
        </w:rPr>
        <w:tab/>
        <w:t>Н.Г. Демихова</w:t>
      </w:r>
    </w:p>
    <w:p w:rsidR="00E57B3B" w:rsidRPr="00632457" w:rsidRDefault="00E57B3B" w:rsidP="00E57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B3B" w:rsidRPr="00632457" w:rsidRDefault="00E57B3B" w:rsidP="00E57B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B3B" w:rsidRPr="00632457" w:rsidRDefault="00E57B3B" w:rsidP="00E57B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B3B" w:rsidRPr="00632457" w:rsidRDefault="00E57B3B" w:rsidP="00E57B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B3B" w:rsidRPr="00632457" w:rsidRDefault="00E57B3B" w:rsidP="00E57B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B3B" w:rsidRPr="00632457" w:rsidRDefault="00E57B3B" w:rsidP="00E57B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B3B" w:rsidRPr="00632457" w:rsidRDefault="00E57B3B" w:rsidP="00E57B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B3B" w:rsidRPr="00632457" w:rsidRDefault="00E57B3B" w:rsidP="00E57B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B3B" w:rsidRPr="00632457" w:rsidRDefault="00E57B3B" w:rsidP="00E57B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B3B" w:rsidRPr="00632457" w:rsidRDefault="00E57B3B" w:rsidP="00E57B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B3B" w:rsidRPr="00632457" w:rsidRDefault="00E57B3B" w:rsidP="00E57B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B3B" w:rsidRPr="00632457" w:rsidRDefault="00E57B3B" w:rsidP="00E57B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B3B" w:rsidRPr="00632457" w:rsidRDefault="00E57B3B" w:rsidP="00E57B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B3B" w:rsidRPr="00632457" w:rsidRDefault="00E57B3B" w:rsidP="00E57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2457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E57B3B" w:rsidRPr="00632457" w:rsidRDefault="00E57B3B" w:rsidP="00E57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245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57B3B" w:rsidRPr="00632457" w:rsidRDefault="00E57B3B" w:rsidP="00E57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2457">
        <w:rPr>
          <w:rFonts w:ascii="Times New Roman" w:hAnsi="Times New Roman" w:cs="Times New Roman"/>
          <w:sz w:val="24"/>
          <w:szCs w:val="24"/>
        </w:rPr>
        <w:t>сельского поселения Пушкинский сельсовет</w:t>
      </w:r>
    </w:p>
    <w:p w:rsidR="00E57B3B" w:rsidRPr="00632457" w:rsidRDefault="00E57B3B" w:rsidP="00E57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2457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:rsidR="00E57B3B" w:rsidRPr="00632457" w:rsidRDefault="00E57B3B" w:rsidP="00E57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2457">
        <w:rPr>
          <w:rFonts w:ascii="Times New Roman" w:hAnsi="Times New Roman" w:cs="Times New Roman"/>
          <w:sz w:val="24"/>
          <w:szCs w:val="24"/>
        </w:rPr>
        <w:t>Липецкой области Российской Федерации</w:t>
      </w:r>
    </w:p>
    <w:p w:rsidR="00E57B3B" w:rsidRPr="00632457" w:rsidRDefault="00A075F8" w:rsidP="00E57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2457">
        <w:rPr>
          <w:rFonts w:ascii="Times New Roman" w:hAnsi="Times New Roman" w:cs="Times New Roman"/>
          <w:sz w:val="24"/>
          <w:szCs w:val="24"/>
        </w:rPr>
        <w:t>от 16.12 2020г. № 9</w:t>
      </w:r>
      <w:r w:rsidR="00E57B3B" w:rsidRPr="00632457">
        <w:rPr>
          <w:rFonts w:ascii="Times New Roman" w:hAnsi="Times New Roman" w:cs="Times New Roman"/>
          <w:sz w:val="24"/>
          <w:szCs w:val="24"/>
        </w:rPr>
        <w:t xml:space="preserve">9 </w:t>
      </w:r>
    </w:p>
    <w:p w:rsidR="00905CCC" w:rsidRPr="00632457" w:rsidRDefault="005C73D4" w:rsidP="007D1CBC">
      <w:pPr>
        <w:pStyle w:val="a4"/>
        <w:ind w:firstLine="567"/>
        <w:rPr>
          <w:sz w:val="28"/>
          <w:szCs w:val="28"/>
        </w:rPr>
      </w:pPr>
      <w:r w:rsidRPr="00632457">
        <w:rPr>
          <w:szCs w:val="28"/>
        </w:rPr>
        <w:t xml:space="preserve">       </w:t>
      </w:r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45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</w:t>
      </w:r>
    </w:p>
    <w:p w:rsidR="005C73D4" w:rsidRPr="00632457" w:rsidRDefault="00905CCC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4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бюджетной и налоговой политики </w:t>
      </w:r>
      <w:r w:rsidR="005C73D4" w:rsidRPr="0063245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7D1CBC" w:rsidRPr="00632457">
        <w:rPr>
          <w:rFonts w:ascii="Times New Roman" w:eastAsia="Times New Roman" w:hAnsi="Times New Roman" w:cs="Times New Roman"/>
          <w:b/>
          <w:sz w:val="28"/>
          <w:szCs w:val="28"/>
        </w:rPr>
        <w:t>Пушкинский</w:t>
      </w:r>
      <w:r w:rsidR="005C73D4" w:rsidRPr="0063245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 w:rsidR="0097670B" w:rsidRPr="00632457">
        <w:rPr>
          <w:rFonts w:ascii="Times New Roman" w:eastAsia="Times New Roman" w:hAnsi="Times New Roman" w:cs="Times New Roman"/>
          <w:b/>
          <w:sz w:val="28"/>
          <w:szCs w:val="28"/>
        </w:rPr>
        <w:t>21 год и на плановый период 2022</w:t>
      </w:r>
      <w:r w:rsidR="005C73D4" w:rsidRPr="00632457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97670B" w:rsidRPr="0063245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C73D4" w:rsidRPr="0063245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457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2457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7D1CBC" w:rsidRPr="00632457">
        <w:rPr>
          <w:rFonts w:ascii="Times New Roman" w:eastAsia="Times New Roman" w:hAnsi="Times New Roman" w:cs="Times New Roman"/>
          <w:sz w:val="28"/>
          <w:szCs w:val="28"/>
        </w:rPr>
        <w:t>Пушкинский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 w:rsidR="0097670B" w:rsidRPr="0063245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</w:t>
      </w:r>
      <w:r w:rsidR="000A0DCE" w:rsidRPr="0063245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670B" w:rsidRPr="0063245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</w:rPr>
        <w:t>и 202</w:t>
      </w:r>
      <w:r w:rsidR="0097670B" w:rsidRPr="0063245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7A555A" w:rsidRPr="006324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457">
        <w:rPr>
          <w:rFonts w:ascii="Times New Roman" w:eastAsia="Times New Roman" w:hAnsi="Times New Roman" w:cs="Times New Roman"/>
          <w:sz w:val="28"/>
          <w:szCs w:val="28"/>
        </w:rPr>
        <w:t xml:space="preserve">подготовлены в соответствии с требованиями Бюджетного кодекса Российской Федерации и 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</w:rPr>
        <w:t xml:space="preserve">Положения «О бюджетном процессе сельского поселения </w:t>
      </w:r>
      <w:r w:rsidR="007D1CBC" w:rsidRPr="00632457">
        <w:rPr>
          <w:rFonts w:ascii="Times New Roman" w:eastAsia="Times New Roman" w:hAnsi="Times New Roman" w:cs="Times New Roman"/>
          <w:sz w:val="28"/>
          <w:szCs w:val="28"/>
        </w:rPr>
        <w:t>Пушкинский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</w:rPr>
        <w:t xml:space="preserve"> сельсовет», принятого решением Совета депутатов сельского поселения </w:t>
      </w:r>
      <w:r w:rsidR="007D1CBC" w:rsidRPr="00632457">
        <w:rPr>
          <w:rFonts w:ascii="Times New Roman" w:eastAsia="Times New Roman" w:hAnsi="Times New Roman" w:cs="Times New Roman"/>
          <w:sz w:val="28"/>
          <w:szCs w:val="28"/>
        </w:rPr>
        <w:t>Пушкинский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</w:rPr>
        <w:t xml:space="preserve"> сельсовет от </w:t>
      </w:r>
      <w:r w:rsidR="00DE28A2" w:rsidRPr="00632457">
        <w:rPr>
          <w:rFonts w:ascii="Times New Roman" w:eastAsia="Times New Roman" w:hAnsi="Times New Roman" w:cs="Times New Roman"/>
          <w:sz w:val="28"/>
          <w:szCs w:val="28"/>
        </w:rPr>
        <w:t>07</w:t>
      </w:r>
      <w:r w:rsidR="00C755C3" w:rsidRPr="0063245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DE28A2" w:rsidRPr="00632457">
        <w:rPr>
          <w:rFonts w:ascii="Times New Roman" w:eastAsia="Times New Roman" w:hAnsi="Times New Roman" w:cs="Times New Roman"/>
          <w:sz w:val="28"/>
          <w:szCs w:val="28"/>
        </w:rPr>
        <w:t>0</w:t>
      </w:r>
      <w:r w:rsidR="00C755C3" w:rsidRPr="0063245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E28A2" w:rsidRPr="0063245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DE28A2" w:rsidRPr="00632457">
        <w:rPr>
          <w:rFonts w:ascii="Times New Roman" w:eastAsia="Times New Roman" w:hAnsi="Times New Roman" w:cs="Times New Roman"/>
          <w:sz w:val="28"/>
          <w:szCs w:val="28"/>
        </w:rPr>
        <w:t>172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</w:rPr>
        <w:t>-рс.</w:t>
      </w:r>
      <w:proofErr w:type="gramEnd"/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2457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7D1CBC" w:rsidRPr="00632457">
        <w:rPr>
          <w:rFonts w:ascii="Times New Roman" w:eastAsia="Times New Roman" w:hAnsi="Times New Roman" w:cs="Times New Roman"/>
          <w:sz w:val="28"/>
          <w:szCs w:val="28"/>
        </w:rPr>
        <w:t>Пушкинский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 w:rsidR="0097670B" w:rsidRPr="00632457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="000A0DCE" w:rsidRPr="00632457">
        <w:rPr>
          <w:rFonts w:ascii="Times New Roman" w:eastAsia="Times New Roman" w:hAnsi="Times New Roman" w:cs="Times New Roman"/>
          <w:sz w:val="28"/>
          <w:szCs w:val="28"/>
        </w:rPr>
        <w:t>год и на плановый период 202</w:t>
      </w:r>
      <w:r w:rsidR="0097670B" w:rsidRPr="0063245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7670B" w:rsidRPr="0063245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7A555A" w:rsidRPr="006324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457">
        <w:rPr>
          <w:rFonts w:ascii="Times New Roman" w:eastAsia="Times New Roman" w:hAnsi="Times New Roman" w:cs="Times New Roman"/>
          <w:sz w:val="28"/>
          <w:szCs w:val="28"/>
        </w:rPr>
        <w:t xml:space="preserve"> являются базой для формирования 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632457">
        <w:rPr>
          <w:rFonts w:ascii="Times New Roman" w:eastAsia="Times New Roman" w:hAnsi="Times New Roman" w:cs="Times New Roman"/>
          <w:sz w:val="28"/>
          <w:szCs w:val="28"/>
        </w:rPr>
        <w:t xml:space="preserve"> бюджета на </w:t>
      </w:r>
      <w:r w:rsidR="00BD16B8" w:rsidRPr="00632457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3245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</w:t>
      </w:r>
      <w:r w:rsidR="000A0DCE" w:rsidRPr="0063245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3245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A0DCE" w:rsidRPr="0063245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32457">
        <w:rPr>
          <w:rFonts w:ascii="Times New Roman" w:eastAsia="Times New Roman" w:hAnsi="Times New Roman" w:cs="Times New Roman"/>
          <w:sz w:val="28"/>
          <w:szCs w:val="28"/>
        </w:rPr>
        <w:t xml:space="preserve"> годов и определяют стратегию действий </w:t>
      </w:r>
      <w:r w:rsidR="005C73D4" w:rsidRPr="0063245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632457">
        <w:rPr>
          <w:rFonts w:ascii="Times New Roman" w:eastAsia="Times New Roman" w:hAnsi="Times New Roman" w:cs="Times New Roman"/>
          <w:sz w:val="28"/>
          <w:szCs w:val="28"/>
        </w:rPr>
        <w:t xml:space="preserve"> в части доходов, расходов бюджета и межбюджетных отношений.</w:t>
      </w:r>
      <w:proofErr w:type="gramEnd"/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57">
        <w:rPr>
          <w:rFonts w:ascii="Times New Roman" w:eastAsia="Times New Roman" w:hAnsi="Times New Roman" w:cs="Times New Roman"/>
          <w:sz w:val="28"/>
          <w:szCs w:val="28"/>
        </w:rPr>
        <w:t xml:space="preserve">Базовым принципом бюджетной и налоговой политики является обеспечение долгосрочной сбалансированности </w:t>
      </w:r>
      <w:r w:rsidR="005C73D4" w:rsidRPr="00632457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Pr="006324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32457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бюджетной и налоговой политики 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7D1CBC" w:rsidRPr="00632457">
        <w:rPr>
          <w:rFonts w:ascii="Times New Roman" w:eastAsia="Times New Roman" w:hAnsi="Times New Roman" w:cs="Times New Roman"/>
          <w:sz w:val="28"/>
          <w:szCs w:val="28"/>
        </w:rPr>
        <w:t>Пушкинский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 на </w:t>
      </w:r>
      <w:r w:rsidR="00BD16B8" w:rsidRPr="00632457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</w:t>
      </w:r>
      <w:r w:rsidR="000A0DCE" w:rsidRPr="0063245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0A0DCE" w:rsidRPr="0063245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7A555A" w:rsidRPr="006324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457">
        <w:rPr>
          <w:rFonts w:ascii="Times New Roman" w:eastAsia="Times New Roman" w:hAnsi="Times New Roman" w:cs="Times New Roman"/>
          <w:sz w:val="28"/>
          <w:szCs w:val="28"/>
        </w:rPr>
        <w:t xml:space="preserve">– повышение доходной части бюджета за счет налоговых и неналоговых поступлений, решение текущих задач и задач развития в соответствии со Стратегией социально-экономического развития 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632457">
        <w:rPr>
          <w:rFonts w:ascii="Times New Roman" w:eastAsia="Times New Roman" w:hAnsi="Times New Roman" w:cs="Times New Roman"/>
          <w:sz w:val="28"/>
          <w:szCs w:val="28"/>
        </w:rPr>
        <w:t xml:space="preserve"> до 20</w:t>
      </w:r>
      <w:r w:rsidR="000A0DCE" w:rsidRPr="0063245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32457">
        <w:rPr>
          <w:rFonts w:ascii="Times New Roman" w:eastAsia="Times New Roman" w:hAnsi="Times New Roman" w:cs="Times New Roman"/>
          <w:sz w:val="28"/>
          <w:szCs w:val="28"/>
        </w:rPr>
        <w:t xml:space="preserve"> года наиболее эффективным способом.</w:t>
      </w:r>
      <w:proofErr w:type="gramEnd"/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457">
        <w:rPr>
          <w:rFonts w:ascii="Times New Roman" w:eastAsia="Times New Roman" w:hAnsi="Times New Roman" w:cs="Times New Roman"/>
          <w:b/>
          <w:sz w:val="28"/>
          <w:szCs w:val="28"/>
        </w:rPr>
        <w:t>2. Основны</w:t>
      </w:r>
      <w:r w:rsidR="00BD16B8" w:rsidRPr="00632457">
        <w:rPr>
          <w:rFonts w:ascii="Times New Roman" w:eastAsia="Times New Roman" w:hAnsi="Times New Roman" w:cs="Times New Roman"/>
          <w:b/>
          <w:sz w:val="28"/>
          <w:szCs w:val="28"/>
        </w:rPr>
        <w:t>е итоги бюджетной политики 2020</w:t>
      </w:r>
      <w:r w:rsidRPr="0063245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57">
        <w:rPr>
          <w:rFonts w:ascii="Times New Roman" w:eastAsia="Times New Roman" w:hAnsi="Times New Roman" w:cs="Times New Roman"/>
          <w:sz w:val="28"/>
          <w:szCs w:val="28"/>
        </w:rPr>
        <w:t>В течение 20</w:t>
      </w:r>
      <w:r w:rsidR="00A075F8" w:rsidRPr="00632457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632457">
        <w:rPr>
          <w:rFonts w:ascii="Times New Roman" w:eastAsia="Times New Roman" w:hAnsi="Times New Roman" w:cs="Times New Roman"/>
          <w:sz w:val="28"/>
          <w:szCs w:val="28"/>
        </w:rPr>
        <w:t xml:space="preserve">года экономика </w:t>
      </w:r>
      <w:r w:rsidR="005C73D4" w:rsidRPr="0063245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632457">
        <w:rPr>
          <w:rFonts w:ascii="Times New Roman" w:eastAsia="Times New Roman" w:hAnsi="Times New Roman" w:cs="Times New Roman"/>
          <w:sz w:val="28"/>
          <w:szCs w:val="28"/>
        </w:rPr>
        <w:t xml:space="preserve"> характеризовалась преобладанием положительных тенденций и позитивной динамикой ключевых показателей.</w:t>
      </w:r>
    </w:p>
    <w:p w:rsidR="007A555A" w:rsidRPr="00632457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57">
        <w:rPr>
          <w:rFonts w:ascii="Times New Roman" w:eastAsia="Times New Roman" w:hAnsi="Times New Roman" w:cs="Times New Roman"/>
          <w:sz w:val="28"/>
          <w:szCs w:val="28"/>
        </w:rPr>
        <w:t>В полном объеме выполняются бюджетные обязательства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2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</w:rPr>
        <w:t>принятые сельским поселением</w:t>
      </w:r>
    </w:p>
    <w:p w:rsidR="00905CCC" w:rsidRPr="00632457" w:rsidRDefault="007A555A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57">
        <w:rPr>
          <w:rFonts w:ascii="Times New Roman" w:eastAsia="Times New Roman" w:hAnsi="Times New Roman" w:cs="Times New Roman"/>
          <w:sz w:val="28"/>
          <w:szCs w:val="28"/>
        </w:rPr>
        <w:t>Ожидаемое исполнение б</w:t>
      </w:r>
      <w:r w:rsidR="00905CCC" w:rsidRPr="00632457">
        <w:rPr>
          <w:rFonts w:ascii="Times New Roman" w:eastAsia="Times New Roman" w:hAnsi="Times New Roman" w:cs="Times New Roman"/>
          <w:sz w:val="28"/>
          <w:szCs w:val="28"/>
        </w:rPr>
        <w:t>юджет</w:t>
      </w:r>
      <w:r w:rsidRPr="0063245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5CCC" w:rsidRPr="00632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45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05CCC" w:rsidRPr="00632457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A075F8" w:rsidRPr="0063245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05CCC" w:rsidRPr="00632457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C21333" w:rsidRPr="00632457">
        <w:rPr>
          <w:rFonts w:ascii="Times New Roman" w:eastAsia="Times New Roman" w:hAnsi="Times New Roman" w:cs="Times New Roman"/>
          <w:sz w:val="28"/>
          <w:szCs w:val="28"/>
        </w:rPr>
        <w:t>8416824,63</w:t>
      </w:r>
      <w:r w:rsidR="00905CCC" w:rsidRPr="00632457">
        <w:rPr>
          <w:rFonts w:ascii="Times New Roman" w:eastAsia="Times New Roman" w:hAnsi="Times New Roman" w:cs="Times New Roman"/>
          <w:sz w:val="28"/>
          <w:szCs w:val="28"/>
        </w:rPr>
        <w:t>руб. (</w:t>
      </w:r>
      <w:r w:rsidR="00323949" w:rsidRPr="0063245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21333" w:rsidRPr="00632457">
        <w:rPr>
          <w:rFonts w:ascii="Times New Roman" w:eastAsia="Times New Roman" w:hAnsi="Times New Roman" w:cs="Times New Roman"/>
          <w:sz w:val="28"/>
          <w:szCs w:val="28"/>
        </w:rPr>
        <w:t>4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</w:rPr>
        <w:t xml:space="preserve">% к годовому плану), </w:t>
      </w:r>
      <w:r w:rsidR="00905CCC" w:rsidRPr="00632457">
        <w:rPr>
          <w:rFonts w:ascii="Times New Roman" w:eastAsia="Times New Roman" w:hAnsi="Times New Roman" w:cs="Times New Roman"/>
          <w:sz w:val="28"/>
          <w:szCs w:val="28"/>
        </w:rPr>
        <w:t>финансирован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905CCC" w:rsidRPr="00632457">
        <w:rPr>
          <w:rFonts w:ascii="Times New Roman" w:eastAsia="Times New Roman" w:hAnsi="Times New Roman" w:cs="Times New Roman"/>
          <w:sz w:val="28"/>
          <w:szCs w:val="28"/>
        </w:rPr>
        <w:t xml:space="preserve"> расходов в сумме </w:t>
      </w:r>
      <w:r w:rsidR="00C21333" w:rsidRPr="00632457">
        <w:rPr>
          <w:rFonts w:ascii="Times New Roman" w:eastAsia="Times New Roman" w:hAnsi="Times New Roman" w:cs="Times New Roman"/>
          <w:sz w:val="28"/>
          <w:szCs w:val="28"/>
        </w:rPr>
        <w:t>8947942,63</w:t>
      </w:r>
      <w:r w:rsidR="00905CCC" w:rsidRPr="00632457">
        <w:rPr>
          <w:rFonts w:ascii="Times New Roman" w:eastAsia="Times New Roman" w:hAnsi="Times New Roman" w:cs="Times New Roman"/>
          <w:sz w:val="28"/>
          <w:szCs w:val="28"/>
        </w:rPr>
        <w:t xml:space="preserve"> руб. (</w:t>
      </w:r>
      <w:r w:rsidR="00323949" w:rsidRPr="00632457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905CCC" w:rsidRPr="00632457">
        <w:rPr>
          <w:rFonts w:ascii="Times New Roman" w:eastAsia="Times New Roman" w:hAnsi="Times New Roman" w:cs="Times New Roman"/>
          <w:sz w:val="28"/>
          <w:szCs w:val="28"/>
        </w:rPr>
        <w:t xml:space="preserve">% к годовому плану), 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949" w:rsidRPr="00632457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</w:rPr>
        <w:t>фицит</w:t>
      </w:r>
      <w:r w:rsidR="00905CCC" w:rsidRPr="0063245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21333" w:rsidRPr="00632457">
        <w:rPr>
          <w:rFonts w:ascii="Times New Roman" w:eastAsia="Times New Roman" w:hAnsi="Times New Roman" w:cs="Times New Roman"/>
          <w:sz w:val="28"/>
          <w:szCs w:val="28"/>
        </w:rPr>
        <w:t>531118,00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57"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Структура расходов бюджета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632457">
        <w:rPr>
          <w:rFonts w:ascii="Times New Roman" w:eastAsia="Times New Roman" w:hAnsi="Times New Roman" w:cs="Times New Roman"/>
          <w:sz w:val="28"/>
          <w:szCs w:val="28"/>
        </w:rPr>
        <w:t xml:space="preserve"> сложилась следующая: 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</w:rPr>
        <w:t>общегосударственные расходы</w:t>
      </w:r>
      <w:r w:rsidRPr="0063245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21333" w:rsidRPr="00632457">
        <w:rPr>
          <w:rFonts w:ascii="Times New Roman" w:eastAsia="Times New Roman" w:hAnsi="Times New Roman" w:cs="Times New Roman"/>
          <w:sz w:val="28"/>
          <w:szCs w:val="28"/>
        </w:rPr>
        <w:t>2804745,27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</w:t>
      </w:r>
      <w:r w:rsidR="00C21333" w:rsidRPr="00632457">
        <w:rPr>
          <w:rFonts w:ascii="Times New Roman" w:eastAsia="Times New Roman" w:hAnsi="Times New Roman" w:cs="Times New Roman"/>
          <w:sz w:val="28"/>
          <w:szCs w:val="28"/>
        </w:rPr>
        <w:t>3</w:t>
      </w:r>
      <w:r w:rsidR="00001BDC" w:rsidRPr="00632457">
        <w:rPr>
          <w:rFonts w:ascii="Times New Roman" w:eastAsia="Times New Roman" w:hAnsi="Times New Roman" w:cs="Times New Roman"/>
          <w:sz w:val="28"/>
          <w:szCs w:val="28"/>
        </w:rPr>
        <w:t>1,</w:t>
      </w:r>
      <w:r w:rsidR="00C21333" w:rsidRPr="00632457">
        <w:rPr>
          <w:rFonts w:ascii="Times New Roman" w:eastAsia="Times New Roman" w:hAnsi="Times New Roman" w:cs="Times New Roman"/>
          <w:sz w:val="28"/>
          <w:szCs w:val="28"/>
        </w:rPr>
        <w:t>3</w:t>
      </w:r>
      <w:r w:rsidR="00001BDC" w:rsidRPr="0063245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245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632457">
        <w:rPr>
          <w:rFonts w:ascii="Times New Roman" w:eastAsia="Times New Roman" w:hAnsi="Times New Roman" w:cs="Times New Roman"/>
          <w:sz w:val="28"/>
          <w:szCs w:val="28"/>
        </w:rPr>
        <w:t>общей суммы расходов</w:t>
      </w:r>
      <w:proofErr w:type="gramStart"/>
      <w:r w:rsidR="00323949" w:rsidRPr="00632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45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001BDC" w:rsidRPr="00632457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оборона- </w:t>
      </w:r>
      <w:r w:rsidR="00C21333" w:rsidRPr="00632457">
        <w:rPr>
          <w:rFonts w:ascii="Times New Roman" w:eastAsia="Times New Roman" w:hAnsi="Times New Roman" w:cs="Times New Roman"/>
          <w:sz w:val="28"/>
          <w:szCs w:val="28"/>
        </w:rPr>
        <w:t>75100</w:t>
      </w:r>
      <w:r w:rsidR="00001BDC" w:rsidRPr="00632457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323949" w:rsidRPr="00632457">
        <w:rPr>
          <w:rFonts w:ascii="Times New Roman" w:eastAsia="Times New Roman" w:hAnsi="Times New Roman" w:cs="Times New Roman"/>
          <w:sz w:val="28"/>
          <w:szCs w:val="28"/>
        </w:rPr>
        <w:t xml:space="preserve"> рублей что составляет 0,</w:t>
      </w:r>
      <w:r w:rsidR="00001BDC" w:rsidRPr="00632457">
        <w:rPr>
          <w:rFonts w:ascii="Times New Roman" w:eastAsia="Times New Roman" w:hAnsi="Times New Roman" w:cs="Times New Roman"/>
          <w:sz w:val="28"/>
          <w:szCs w:val="28"/>
        </w:rPr>
        <w:t>8</w:t>
      </w:r>
      <w:r w:rsidR="00323949" w:rsidRPr="00632457">
        <w:rPr>
          <w:rFonts w:ascii="Times New Roman" w:eastAsia="Times New Roman" w:hAnsi="Times New Roman" w:cs="Times New Roman"/>
          <w:sz w:val="28"/>
          <w:szCs w:val="28"/>
        </w:rPr>
        <w:t>% от общей суммы расходов</w:t>
      </w:r>
      <w:r w:rsidR="00F93613" w:rsidRPr="006324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2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экономика – </w:t>
      </w:r>
      <w:r w:rsidR="00C21333" w:rsidRPr="00632457">
        <w:rPr>
          <w:rFonts w:ascii="Times New Roman" w:eastAsia="Times New Roman" w:hAnsi="Times New Roman" w:cs="Times New Roman"/>
          <w:sz w:val="28"/>
          <w:szCs w:val="28"/>
        </w:rPr>
        <w:t>2770800,00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</w:t>
      </w:r>
      <w:r w:rsidR="00C21333" w:rsidRPr="00632457">
        <w:rPr>
          <w:rFonts w:ascii="Times New Roman" w:eastAsia="Times New Roman" w:hAnsi="Times New Roman" w:cs="Times New Roman"/>
          <w:sz w:val="28"/>
          <w:szCs w:val="28"/>
        </w:rPr>
        <w:t>30,70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</w:rPr>
        <w:t>% от общей суммы расходов</w:t>
      </w:r>
      <w:r w:rsidRPr="0063245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жилищно-коммунальное хозяйство – </w:t>
      </w:r>
      <w:r w:rsidR="00C21333" w:rsidRPr="00632457">
        <w:rPr>
          <w:rFonts w:ascii="Times New Roman" w:eastAsia="Times New Roman" w:hAnsi="Times New Roman" w:cs="Times New Roman"/>
          <w:sz w:val="28"/>
          <w:szCs w:val="28"/>
        </w:rPr>
        <w:t>407380,36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</w:t>
      </w:r>
      <w:r w:rsidR="00C21333" w:rsidRPr="00632457">
        <w:rPr>
          <w:rFonts w:ascii="Times New Roman" w:eastAsia="Times New Roman" w:hAnsi="Times New Roman" w:cs="Times New Roman"/>
          <w:sz w:val="28"/>
          <w:szCs w:val="28"/>
        </w:rPr>
        <w:t>4,55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</w:rPr>
        <w:t>% от общей суммы расходов, культура -</w:t>
      </w:r>
      <w:r w:rsidR="00C21333" w:rsidRPr="00632457">
        <w:rPr>
          <w:rFonts w:ascii="Times New Roman" w:eastAsia="Times New Roman" w:hAnsi="Times New Roman" w:cs="Times New Roman"/>
          <w:sz w:val="28"/>
          <w:szCs w:val="28"/>
        </w:rPr>
        <w:t>2705037,</w:t>
      </w:r>
      <w:r w:rsidR="00001BDC" w:rsidRPr="00632457">
        <w:rPr>
          <w:rFonts w:ascii="Times New Roman" w:eastAsia="Times New Roman" w:hAnsi="Times New Roman" w:cs="Times New Roman"/>
          <w:sz w:val="28"/>
          <w:szCs w:val="28"/>
        </w:rPr>
        <w:t>00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</w:t>
      </w:r>
      <w:r w:rsidR="00001BDC" w:rsidRPr="00632457">
        <w:rPr>
          <w:rFonts w:ascii="Times New Roman" w:eastAsia="Times New Roman" w:hAnsi="Times New Roman" w:cs="Times New Roman"/>
          <w:sz w:val="28"/>
          <w:szCs w:val="28"/>
        </w:rPr>
        <w:t>30,</w:t>
      </w:r>
      <w:r w:rsidR="00C21333" w:rsidRPr="00632457">
        <w:rPr>
          <w:rFonts w:ascii="Times New Roman" w:eastAsia="Times New Roman" w:hAnsi="Times New Roman" w:cs="Times New Roman"/>
          <w:sz w:val="28"/>
          <w:szCs w:val="28"/>
        </w:rPr>
        <w:t>23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</w:rPr>
        <w:t xml:space="preserve">% от общей суммы расходов, </w:t>
      </w:r>
      <w:r w:rsidR="00F93613" w:rsidRPr="00632457">
        <w:rPr>
          <w:rFonts w:ascii="Times New Roman" w:eastAsia="Times New Roman" w:hAnsi="Times New Roman" w:cs="Times New Roman"/>
          <w:sz w:val="28"/>
          <w:szCs w:val="28"/>
        </w:rPr>
        <w:t>физическая культура и спорт-</w:t>
      </w:r>
      <w:r w:rsidR="00001BDC" w:rsidRPr="00632457">
        <w:rPr>
          <w:rFonts w:ascii="Times New Roman" w:eastAsia="Times New Roman" w:hAnsi="Times New Roman" w:cs="Times New Roman"/>
          <w:sz w:val="28"/>
          <w:szCs w:val="28"/>
        </w:rPr>
        <w:t>1</w:t>
      </w:r>
      <w:r w:rsidR="00C21333" w:rsidRPr="00632457">
        <w:rPr>
          <w:rFonts w:ascii="Times New Roman" w:eastAsia="Times New Roman" w:hAnsi="Times New Roman" w:cs="Times New Roman"/>
          <w:sz w:val="28"/>
          <w:szCs w:val="28"/>
        </w:rPr>
        <w:t>35075</w:t>
      </w:r>
      <w:r w:rsidR="00001BDC" w:rsidRPr="00632457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CD15F2" w:rsidRPr="00632457">
        <w:rPr>
          <w:rFonts w:ascii="Times New Roman" w:eastAsia="Times New Roman" w:hAnsi="Times New Roman" w:cs="Times New Roman"/>
          <w:sz w:val="28"/>
          <w:szCs w:val="28"/>
        </w:rPr>
        <w:t>1,51</w:t>
      </w:r>
      <w:r w:rsidR="00F93613" w:rsidRPr="00632457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001BDC" w:rsidRPr="00632457">
        <w:rPr>
          <w:rFonts w:ascii="Times New Roman" w:eastAsia="Times New Roman" w:hAnsi="Times New Roman" w:cs="Times New Roman"/>
          <w:sz w:val="28"/>
          <w:szCs w:val="28"/>
        </w:rPr>
        <w:t>обслу</w:t>
      </w:r>
      <w:r w:rsidR="00C21333" w:rsidRPr="00632457">
        <w:rPr>
          <w:rFonts w:ascii="Times New Roman" w:eastAsia="Times New Roman" w:hAnsi="Times New Roman" w:cs="Times New Roman"/>
          <w:sz w:val="28"/>
          <w:szCs w:val="28"/>
        </w:rPr>
        <w:t>живание государственного долга 37005</w:t>
      </w:r>
      <w:r w:rsidR="00001BDC" w:rsidRPr="00632457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F93613" w:rsidRPr="00632457">
        <w:rPr>
          <w:rFonts w:ascii="Times New Roman" w:eastAsia="Times New Roman" w:hAnsi="Times New Roman" w:cs="Times New Roman"/>
          <w:sz w:val="28"/>
          <w:szCs w:val="28"/>
        </w:rPr>
        <w:t xml:space="preserve"> или 0,</w:t>
      </w:r>
      <w:r w:rsidR="00CD15F2" w:rsidRPr="00632457">
        <w:rPr>
          <w:rFonts w:ascii="Times New Roman" w:eastAsia="Times New Roman" w:hAnsi="Times New Roman" w:cs="Times New Roman"/>
          <w:sz w:val="28"/>
          <w:szCs w:val="28"/>
        </w:rPr>
        <w:t>43</w:t>
      </w:r>
      <w:r w:rsidR="00F93613" w:rsidRPr="0063245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05CCC" w:rsidRPr="00632457" w:rsidRDefault="00E83A7D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57">
        <w:rPr>
          <w:rFonts w:ascii="Times New Roman" w:eastAsia="Calibri" w:hAnsi="Times New Roman" w:cs="Times New Roman"/>
          <w:sz w:val="28"/>
          <w:szCs w:val="28"/>
        </w:rPr>
        <w:t xml:space="preserve">В сельском поселении принята муниципальная программа «Устойчивое развитие территории сельского поселения </w:t>
      </w:r>
      <w:r w:rsidR="007D1CBC" w:rsidRPr="00632457">
        <w:rPr>
          <w:rFonts w:ascii="Times New Roman" w:eastAsia="Calibri" w:hAnsi="Times New Roman" w:cs="Times New Roman"/>
          <w:sz w:val="28"/>
          <w:szCs w:val="28"/>
        </w:rPr>
        <w:t>Пушкинский</w:t>
      </w:r>
      <w:r w:rsidRPr="00632457">
        <w:rPr>
          <w:rFonts w:ascii="Times New Roman" w:eastAsia="Calibri" w:hAnsi="Times New Roman" w:cs="Times New Roman"/>
          <w:sz w:val="28"/>
          <w:szCs w:val="28"/>
        </w:rPr>
        <w:t xml:space="preserve"> сельсовет на 20</w:t>
      </w:r>
      <w:r w:rsidR="00CD15F2" w:rsidRPr="00632457">
        <w:rPr>
          <w:rFonts w:ascii="Times New Roman" w:eastAsia="Calibri" w:hAnsi="Times New Roman" w:cs="Times New Roman"/>
          <w:sz w:val="28"/>
          <w:szCs w:val="28"/>
        </w:rPr>
        <w:t>1</w:t>
      </w:r>
      <w:r w:rsidR="00BD16B8" w:rsidRPr="00632457">
        <w:rPr>
          <w:rFonts w:ascii="Times New Roman" w:eastAsia="Calibri" w:hAnsi="Times New Roman" w:cs="Times New Roman"/>
          <w:sz w:val="28"/>
          <w:szCs w:val="28"/>
        </w:rPr>
        <w:t>9</w:t>
      </w:r>
      <w:r w:rsidRPr="00632457">
        <w:rPr>
          <w:rFonts w:ascii="Times New Roman" w:eastAsia="Calibri" w:hAnsi="Times New Roman" w:cs="Times New Roman"/>
          <w:sz w:val="28"/>
          <w:szCs w:val="28"/>
        </w:rPr>
        <w:t>-202</w:t>
      </w:r>
      <w:r w:rsidR="00BD16B8" w:rsidRPr="00632457">
        <w:rPr>
          <w:rFonts w:ascii="Times New Roman" w:eastAsia="Calibri" w:hAnsi="Times New Roman" w:cs="Times New Roman"/>
          <w:sz w:val="28"/>
          <w:szCs w:val="28"/>
        </w:rPr>
        <w:t>4</w:t>
      </w:r>
      <w:r w:rsidRPr="00632457">
        <w:rPr>
          <w:rFonts w:ascii="Times New Roman" w:eastAsia="Calibri" w:hAnsi="Times New Roman" w:cs="Times New Roman"/>
          <w:sz w:val="28"/>
          <w:szCs w:val="28"/>
        </w:rPr>
        <w:t xml:space="preserve"> годы» </w:t>
      </w:r>
      <w:r w:rsidR="00905CCC" w:rsidRPr="00632457">
        <w:rPr>
          <w:rFonts w:ascii="Times New Roman" w:eastAsia="Times New Roman" w:hAnsi="Times New Roman" w:cs="Times New Roman"/>
          <w:sz w:val="28"/>
          <w:szCs w:val="28"/>
        </w:rPr>
        <w:t xml:space="preserve">Программная часть бюджета составляет </w:t>
      </w:r>
      <w:r w:rsidR="00BD16B8" w:rsidRPr="00632457">
        <w:rPr>
          <w:rFonts w:ascii="Times New Roman" w:eastAsia="Times New Roman" w:hAnsi="Times New Roman" w:cs="Times New Roman"/>
          <w:sz w:val="28"/>
          <w:szCs w:val="28"/>
        </w:rPr>
        <w:t>4608,0</w:t>
      </w:r>
      <w:r w:rsidR="00845529" w:rsidRPr="00632457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="00845529" w:rsidRPr="0063245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845529" w:rsidRPr="00632457">
        <w:rPr>
          <w:rFonts w:ascii="Times New Roman" w:eastAsia="Times New Roman" w:hAnsi="Times New Roman" w:cs="Times New Roman"/>
          <w:sz w:val="28"/>
          <w:szCs w:val="28"/>
        </w:rPr>
        <w:t>уб.</w:t>
      </w:r>
      <w:r w:rsidRPr="00632457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845529" w:rsidRPr="00632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6B8" w:rsidRPr="00632457">
        <w:rPr>
          <w:rFonts w:ascii="Times New Roman" w:eastAsia="Times New Roman" w:hAnsi="Times New Roman" w:cs="Times New Roman"/>
          <w:sz w:val="28"/>
          <w:szCs w:val="28"/>
        </w:rPr>
        <w:t>60,8</w:t>
      </w:r>
      <w:r w:rsidRPr="00632457">
        <w:rPr>
          <w:rFonts w:ascii="Times New Roman" w:eastAsia="Times New Roman" w:hAnsi="Times New Roman" w:cs="Times New Roman"/>
          <w:sz w:val="28"/>
          <w:szCs w:val="28"/>
        </w:rPr>
        <w:t>% от общей суммы расходов</w:t>
      </w:r>
      <w:r w:rsidR="00942441" w:rsidRPr="006324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5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D16B8" w:rsidRPr="00632457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32457">
        <w:rPr>
          <w:rFonts w:ascii="Times New Roman" w:eastAsia="Times New Roman" w:hAnsi="Times New Roman" w:cs="Times New Roman"/>
          <w:sz w:val="28"/>
          <w:szCs w:val="28"/>
        </w:rPr>
        <w:t xml:space="preserve"> год поставлена задача – максимальн</w:t>
      </w:r>
      <w:r w:rsidR="00942441" w:rsidRPr="00632457">
        <w:rPr>
          <w:rFonts w:ascii="Times New Roman" w:eastAsia="Times New Roman" w:hAnsi="Times New Roman" w:cs="Times New Roman"/>
          <w:sz w:val="28"/>
          <w:szCs w:val="28"/>
        </w:rPr>
        <w:t>ый сбор налоговых и неналоговых доходов,</w:t>
      </w:r>
      <w:r w:rsidRPr="00632457">
        <w:rPr>
          <w:rFonts w:ascii="Times New Roman" w:eastAsia="Times New Roman" w:hAnsi="Times New Roman" w:cs="Times New Roman"/>
          <w:sz w:val="28"/>
          <w:szCs w:val="28"/>
        </w:rPr>
        <w:t xml:space="preserve"> привлечение средств </w:t>
      </w:r>
      <w:r w:rsidR="00E83A7D" w:rsidRPr="00632457">
        <w:rPr>
          <w:rFonts w:ascii="Times New Roman" w:eastAsia="Times New Roman" w:hAnsi="Times New Roman" w:cs="Times New Roman"/>
          <w:sz w:val="28"/>
          <w:szCs w:val="28"/>
        </w:rPr>
        <w:t>областного</w:t>
      </w:r>
      <w:r w:rsidRPr="00632457">
        <w:rPr>
          <w:rFonts w:ascii="Times New Roman" w:eastAsia="Times New Roman" w:hAnsi="Times New Roman" w:cs="Times New Roman"/>
          <w:sz w:val="28"/>
          <w:szCs w:val="28"/>
        </w:rPr>
        <w:t xml:space="preserve"> бюджета и внебюджетных источников. </w:t>
      </w:r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457">
        <w:rPr>
          <w:rFonts w:ascii="Times New Roman" w:eastAsia="Times New Roman" w:hAnsi="Times New Roman" w:cs="Times New Roman"/>
          <w:b/>
          <w:sz w:val="28"/>
          <w:szCs w:val="28"/>
        </w:rPr>
        <w:t xml:space="preserve">3. Основные задачи и направления бюджетной политики на </w:t>
      </w:r>
      <w:r w:rsidR="00BD16B8" w:rsidRPr="00632457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63245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</w:t>
      </w:r>
      <w:r w:rsidR="00001BDC" w:rsidRPr="006324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457">
        <w:rPr>
          <w:rFonts w:ascii="Times New Roman" w:eastAsia="Times New Roman" w:hAnsi="Times New Roman" w:cs="Times New Roman"/>
          <w:b/>
          <w:sz w:val="28"/>
          <w:szCs w:val="28"/>
        </w:rPr>
        <w:t>на плановый период 20</w:t>
      </w:r>
      <w:r w:rsidR="000A0DCE" w:rsidRPr="0063245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D16B8" w:rsidRPr="0063245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32457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BD16B8" w:rsidRPr="0063245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3245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57">
        <w:rPr>
          <w:rFonts w:ascii="Times New Roman" w:eastAsia="Times New Roman" w:hAnsi="Times New Roman" w:cs="Times New Roman"/>
          <w:sz w:val="28"/>
          <w:szCs w:val="28"/>
        </w:rPr>
        <w:t>3.1. Основные задачи бюджетной политики.</w:t>
      </w:r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57">
        <w:rPr>
          <w:rFonts w:ascii="Times New Roman" w:eastAsia="Times New Roman" w:hAnsi="Times New Roman" w:cs="Times New Roman"/>
          <w:sz w:val="28"/>
          <w:szCs w:val="28"/>
        </w:rPr>
        <w:t xml:space="preserve">Сложные экономические условия, с одной стороны, еще больше усиливают социальную нагрузку на </w:t>
      </w:r>
      <w:r w:rsidR="00E83A7D" w:rsidRPr="00632457">
        <w:rPr>
          <w:rFonts w:ascii="Times New Roman" w:eastAsia="Times New Roman" w:hAnsi="Times New Roman" w:cs="Times New Roman"/>
          <w:sz w:val="28"/>
          <w:szCs w:val="28"/>
        </w:rPr>
        <w:t>местный</w:t>
      </w:r>
      <w:r w:rsidRPr="00632457">
        <w:rPr>
          <w:rFonts w:ascii="Times New Roman" w:eastAsia="Times New Roman" w:hAnsi="Times New Roman" w:cs="Times New Roman"/>
          <w:sz w:val="28"/>
          <w:szCs w:val="28"/>
        </w:rPr>
        <w:t xml:space="preserve"> бюджет, с другой - крайне отрицательно влияют на поступление налоговых и неналоговых доходов. В связи с этим обеспечение финансирования всех социальных обязатель</w:t>
      </w:r>
      <w:proofErr w:type="gramStart"/>
      <w:r w:rsidRPr="00632457">
        <w:rPr>
          <w:rFonts w:ascii="Times New Roman" w:eastAsia="Times New Roman" w:hAnsi="Times New Roman" w:cs="Times New Roman"/>
          <w:sz w:val="28"/>
          <w:szCs w:val="28"/>
        </w:rPr>
        <w:t>ств тр</w:t>
      </w:r>
      <w:proofErr w:type="gramEnd"/>
      <w:r w:rsidRPr="00632457">
        <w:rPr>
          <w:rFonts w:ascii="Times New Roman" w:eastAsia="Times New Roman" w:hAnsi="Times New Roman" w:cs="Times New Roman"/>
          <w:sz w:val="28"/>
          <w:szCs w:val="28"/>
        </w:rPr>
        <w:t>ебует повышения эффективности расходов на действующие обязательства, минимизации бюджетных рисков, оптимизации и сдерживания расходов на основе повышения их адресности, снижения долговой нагрузки.</w:t>
      </w:r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57">
        <w:rPr>
          <w:rFonts w:ascii="Times New Roman" w:eastAsia="Times New Roman" w:hAnsi="Times New Roman" w:cs="Times New Roman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57">
        <w:rPr>
          <w:rFonts w:ascii="Times New Roman" w:eastAsia="Times New Roman" w:hAnsi="Times New Roman" w:cs="Times New Roman"/>
          <w:sz w:val="28"/>
          <w:szCs w:val="28"/>
        </w:rPr>
        <w:t>- осуществление бюджетных расходов с учетом возможностей доходной базы бюджета;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457">
        <w:rPr>
          <w:rFonts w:ascii="Times New Roman" w:eastAsia="Times New Roman" w:hAnsi="Times New Roman" w:cs="Times New Roman"/>
          <w:sz w:val="28"/>
          <w:szCs w:val="28"/>
        </w:rPr>
        <w:t>- формирование бюджет</w:t>
      </w:r>
      <w:r w:rsidR="00E83A7D" w:rsidRPr="0063245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2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A7D" w:rsidRPr="00632457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E83A7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E83A7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3A7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исходя из четко определенных долгосрочных целей социально-экономического развития </w:t>
      </w:r>
      <w:r w:rsidR="00E83A7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показателей их достижения;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использование всех возможностей для привлечения средств внебюджетных источников, а также средств </w:t>
      </w:r>
      <w:r w:rsidR="00E83A7D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ого бюджета, в первую очередь с наиболее высокой долей софинансирования;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разработка и внедрение критериев адресности и нуждаемости при предоставлении мер социальной поддержки и социальной помощи отдельным категориям граждан с целью оптимального перераспределения бюджетных сре</w:t>
      </w:r>
      <w:proofErr w:type="gramStart"/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я оказания поддержки наиболее социально незащищенным категориям граждан;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расширение перечня государственных услуг, оказываемых в электронном виде;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эффективности процедур проведения государственных закупок;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совершенствование процедур предварительного и последующего контроля, в том числе уточнение порядка и содержания мер принуждения за нарушения в финансово-бюджетной сфере.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методологии разработки </w:t>
      </w:r>
      <w:r w:rsidR="00E83A7D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E83A7D">
        <w:rPr>
          <w:rFonts w:ascii="Times New Roman" w:eastAsia="Calibri" w:hAnsi="Times New Roman" w:cs="Times New Roman"/>
          <w:sz w:val="28"/>
          <w:szCs w:val="28"/>
        </w:rPr>
        <w:t>ой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E83A7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повышение эффективности </w:t>
      </w:r>
      <w:r w:rsidR="00E83A7D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будут продолжены по следующим направлениям: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обязательное отражение в 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C6B9B">
        <w:rPr>
          <w:rFonts w:ascii="Times New Roman" w:eastAsia="Calibri" w:hAnsi="Times New Roman" w:cs="Times New Roman"/>
          <w:sz w:val="28"/>
          <w:szCs w:val="28"/>
        </w:rPr>
        <w:t>ой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C6B9B">
        <w:rPr>
          <w:rFonts w:ascii="Times New Roman" w:eastAsia="Calibri" w:hAnsi="Times New Roman" w:cs="Times New Roman"/>
          <w:sz w:val="28"/>
          <w:szCs w:val="28"/>
        </w:rPr>
        <w:t>е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показателей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должно обеспечить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приоритетное 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расходование бюджетных средств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повышение </w:t>
      </w:r>
      <w:proofErr w:type="gramStart"/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качества планирования значений целевых показателей 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C6B9B">
        <w:rPr>
          <w:rFonts w:ascii="Times New Roman" w:eastAsia="Calibri" w:hAnsi="Times New Roman" w:cs="Times New Roman"/>
          <w:sz w:val="28"/>
          <w:szCs w:val="28"/>
        </w:rPr>
        <w:t>ой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C6B9B">
        <w:rPr>
          <w:rFonts w:ascii="Times New Roman" w:eastAsia="Calibri" w:hAnsi="Times New Roman" w:cs="Times New Roman"/>
          <w:sz w:val="28"/>
          <w:szCs w:val="28"/>
        </w:rPr>
        <w:t>ы</w:t>
      </w:r>
      <w:proofErr w:type="gramEnd"/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обеспечение полноты отражения всего комплекса мер (налоговых льгот, мер тарифного регулирования, нормативного регулирования, участия в управлении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определение объемов финансирования 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C6B9B">
        <w:rPr>
          <w:rFonts w:ascii="Times New Roman" w:eastAsia="Calibri" w:hAnsi="Times New Roman" w:cs="Times New Roman"/>
          <w:sz w:val="28"/>
          <w:szCs w:val="28"/>
        </w:rPr>
        <w:t>ой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C6B9B">
        <w:rPr>
          <w:rFonts w:ascii="Times New Roman" w:eastAsia="Calibri" w:hAnsi="Times New Roman" w:cs="Times New Roman"/>
          <w:sz w:val="28"/>
          <w:szCs w:val="28"/>
        </w:rPr>
        <w:t>ы</w:t>
      </w:r>
      <w:r w:rsidR="001C6B9B"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пределами трехлетнего бюджета в соответствии с долгосрочным бюджетным прогнозом;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проведение комплексной оценки эффективности 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C6B9B">
        <w:rPr>
          <w:rFonts w:ascii="Times New Roman" w:eastAsia="Calibri" w:hAnsi="Times New Roman" w:cs="Times New Roman"/>
          <w:sz w:val="28"/>
          <w:szCs w:val="28"/>
        </w:rPr>
        <w:t>ой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C6B9B">
        <w:rPr>
          <w:rFonts w:ascii="Times New Roman" w:eastAsia="Calibri" w:hAnsi="Times New Roman" w:cs="Times New Roman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включающей оценку эффективности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в разрезе подпрограмм, оценку финансового обеспечения и качества планирования 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C6B9B">
        <w:rPr>
          <w:rFonts w:ascii="Times New Roman" w:eastAsia="Calibri" w:hAnsi="Times New Roman" w:cs="Times New Roman"/>
          <w:sz w:val="28"/>
          <w:szCs w:val="28"/>
        </w:rPr>
        <w:t>ой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C6B9B">
        <w:rPr>
          <w:rFonts w:ascii="Times New Roman" w:eastAsia="Calibri" w:hAnsi="Times New Roman" w:cs="Times New Roman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Результаты такой оценки должны учитываться при формировании параметров финансового обеспечения 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C6B9B">
        <w:rPr>
          <w:rFonts w:ascii="Times New Roman" w:eastAsia="Calibri" w:hAnsi="Times New Roman" w:cs="Times New Roman"/>
          <w:sz w:val="28"/>
          <w:szCs w:val="28"/>
        </w:rPr>
        <w:t>ой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C6B9B">
        <w:rPr>
          <w:rFonts w:ascii="Times New Roman" w:eastAsia="Calibri" w:hAnsi="Times New Roman" w:cs="Times New Roman"/>
          <w:sz w:val="28"/>
          <w:szCs w:val="28"/>
        </w:rPr>
        <w:t>ы</w:t>
      </w:r>
      <w:r w:rsidR="001C6B9B"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на дальнейшую перспективу.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3.2. Основные направления бюджетной политики в части расходов бюджета.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Приоритетами при формировании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 на </w:t>
      </w:r>
      <w:r w:rsidR="00BD16B8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по-прежнему являются реализация стратегических инициатив Президента Российской Федерации, увеличение доходной части бюджета,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государственного долга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недопущение образования кредиторской задолженности, выполнение всех социальных обязательств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Бюджетная политика как составная часть экономической политики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нацелена на повышение уровня и качества жизни населения через повышение уровня экономического развития и реализуется по основным направлениям, определенным Стратегией социально-экономического развития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202</w:t>
      </w:r>
      <w:r w:rsidR="00BD16B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- обеспечение граждан качественным и доступным жильем, развитие жилищно-коммунального хозяйства;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массового спорта и спорта высших достижений;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повышение инвестиционной привлекательности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туризма;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- культура;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эффективности работы и открытости органов власти.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в целях повышения эффективности и открытости деятельности органов исполнительной власти </w:t>
      </w:r>
      <w:r w:rsidR="00F1083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повышения результативности </w:t>
      </w:r>
      <w:r w:rsidR="00F1083E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F1083E">
        <w:rPr>
          <w:rFonts w:ascii="Times New Roman" w:eastAsia="Calibri" w:hAnsi="Times New Roman" w:cs="Times New Roman"/>
          <w:sz w:val="28"/>
          <w:szCs w:val="28"/>
        </w:rPr>
        <w:t>ой</w:t>
      </w:r>
      <w:r w:rsidR="00F1083E"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F1083E">
        <w:rPr>
          <w:rFonts w:ascii="Times New Roman" w:eastAsia="Calibri" w:hAnsi="Times New Roman" w:cs="Times New Roman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10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</w:t>
      </w:r>
      <w:r w:rsidR="00F1083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выполнении мероприятий </w:t>
      </w:r>
      <w:r w:rsidR="00F1083E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F1083E">
        <w:rPr>
          <w:rFonts w:ascii="Times New Roman" w:eastAsia="Calibri" w:hAnsi="Times New Roman" w:cs="Times New Roman"/>
          <w:sz w:val="28"/>
          <w:szCs w:val="28"/>
        </w:rPr>
        <w:t>ой</w:t>
      </w:r>
      <w:r w:rsidR="00F1083E"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F1083E">
        <w:rPr>
          <w:rFonts w:ascii="Times New Roman" w:eastAsia="Calibri" w:hAnsi="Times New Roman" w:cs="Times New Roman"/>
          <w:sz w:val="28"/>
          <w:szCs w:val="28"/>
        </w:rPr>
        <w:t>ы</w:t>
      </w:r>
      <w:r w:rsidR="00942441">
        <w:rPr>
          <w:rFonts w:ascii="Times New Roman" w:eastAsia="Calibri" w:hAnsi="Times New Roman" w:cs="Times New Roman"/>
          <w:sz w:val="28"/>
          <w:szCs w:val="28"/>
        </w:rPr>
        <w:t>, деятельности органов местного самоуправления</w:t>
      </w:r>
      <w:r w:rsidR="00F1083E"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отражается в открытом доступе на </w:t>
      </w:r>
      <w:r w:rsidR="00F10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сайте Добринского </w:t>
      </w:r>
      <w:r w:rsidR="00F108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муниципального района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является одним из элементов системы открытого в части финансовых показател</w:t>
      </w:r>
      <w:r w:rsidR="00F1083E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083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3.3. Основные направления политики в сфере межбюджетных отношений.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задачами в области регулирования межбюджетных отношений в </w:t>
      </w:r>
      <w:r w:rsidR="003A69C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сельском поселении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останутся: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сбалансированности местных бюджетов;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- сокращение муниципального долга;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устойчивой собственной доходной базы;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органами местного самоуправления бюджетного законодательства и повышение уровня финансовой дисциплины;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стимулов для повышения качества управления муниципальными финансами, эффективности расходования бюджетных средств и ответственности органов местного самоуправления  за проводимую бюджетную политику.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усиление стимулирующей роли межбюджетных трансфертов, в том числе в части повышения заинтересованности органов местного самоуправления в содействии развитию экономики </w:t>
      </w:r>
      <w:r w:rsidR="003A69C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решения поставленных задач планируется:</w:t>
      </w:r>
    </w:p>
    <w:p w:rsidR="003A69C0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продолжить практику использования нормативных расходов</w:t>
      </w:r>
    </w:p>
    <w:p w:rsidR="00905CCC" w:rsidRPr="00D77836" w:rsidRDefault="003A69C0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применять 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повышению эффективности использования бюджетных средств и увеличению поступлений доходов в местны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 в целях сокращения муниципального долга;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A69C0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оптимизировать расходы</w:t>
      </w:r>
    </w:p>
    <w:p w:rsidR="00905CCC" w:rsidRPr="00942441" w:rsidRDefault="00905CCC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2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Основные итоги налоговой политики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BD16B8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="002015BF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BD16B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2015B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69C0" w:rsidRPr="007A555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="003A69C0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3A69C0" w:rsidRPr="007A5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D1CBC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Пушкинский</w:t>
      </w:r>
      <w:r w:rsidR="003A69C0" w:rsidRPr="007A5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</w:t>
      </w:r>
      <w:r w:rsidR="003A69C0"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поставлена задача существенного увеличения налоговых доходов бюджета </w:t>
      </w:r>
      <w:r w:rsidR="002015B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максимального использования налогового потенциала. Для реализации задачи по мобилизации налоговых и неналоговых доходов в бюджет </w:t>
      </w:r>
      <w:r w:rsidR="002015B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BD16B8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="00201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- 202</w:t>
      </w:r>
      <w:r w:rsidR="00BD16B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предусмотрены следующие направления деятельности: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взаимодействие с налогоплательщиками для увеличения налоговой базы;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обеспечении эффективного администрирования налогов;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увеличение поступления имущественных налогов за счет вовлечения в налогообложение объектов недвижимости;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увеличение поступления неналоговых доходов.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2015B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егистрации права собственности и постановки на кадастровый учет земельных участков и </w:t>
      </w:r>
      <w:r w:rsidR="002015B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недвижимого имущества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Продолжена работа по инвентаризации земельных участков, для выявления объектов, не учтенных в базах данных, используемых для налогообложения. </w:t>
      </w:r>
    </w:p>
    <w:p w:rsidR="002015BF" w:rsidRDefault="002015BF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 с собственниками земельных участков уточнены сведения о земельных участках и их правообладателях, проведена разъяснительная работа с правообладателями, в том числе наследниками, не зарегистрировавшими права на землю в установленном порядке, с целью 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побуждения их к осуществлению процедуры государственной регистрации прав на землю. 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 анализ сведений об объектах недвижимости – объектах капитального строительства, расположенных на территории </w:t>
      </w:r>
      <w:r w:rsidR="002015B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предмет наличия несоответствий и противоречий в сведениях, влияющих на результаты кадастровой оценки. В результате анализа выявлены объекты с несоответствиями и направлены в кадастровую палату для уточнения ошибок и противоречий.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задолженности по уплате налогов, зачисляемых в консолидированный бюджет области.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8B0F5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целях увеличения собираемости налогов, для совершенствования администрирования на муниципальном уровне осуществляется работа </w:t>
      </w:r>
      <w:r w:rsidR="008B0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налогоплательщик</w:t>
      </w:r>
      <w:r w:rsidR="008B0F52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имеющих задолженность по обязательным платежам.</w:t>
      </w:r>
    </w:p>
    <w:p w:rsidR="00905CCC" w:rsidRPr="004C3DFE" w:rsidRDefault="00905CCC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3D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Основные направления налоговой политики на </w:t>
      </w:r>
      <w:r w:rsidR="00BD16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2021</w:t>
      </w:r>
      <w:r w:rsidRPr="004C3D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 и на плановый период 20</w:t>
      </w:r>
      <w:r w:rsidR="000A0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BD16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4C3D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202</w:t>
      </w:r>
      <w:r w:rsidR="00BD16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4C3D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годов.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8B0F5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. Инвентаризация объектов недвижимости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увеличения доходной базы </w:t>
      </w:r>
      <w:r w:rsidR="008B0F5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планируется осуществление мероприятий по вовлечению в налогообложение объектов недвижимости – земельных участков: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Стимулирование, координация и методологическая поддержка работы органов местного самоуправления по мотивации собственников земельных участков к регистрации прав собственности в установленном порядке;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Отработка технологий вовлечения в оборот земельных участков, владельцы которых неизвестны или отсутствуют.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действий в рамках муниципального земельного контроля и государственного земельного надзора.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технологии выявления и устранения кадастровых ошибок, допускаемых оценщиком при проведении кадастровых работ.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технологии анализа пространственной информации об объектах налогообложения.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Планируется продолжить работу по сопоставлению и верификации содержащихся в учетных системах органов кадастрового учета и базах данных налоговых органов сведений в отношении объектов капитального строительства (зданий, строений, помещений), включая выявление и исправление ошибок и несоответствий в указанных основных информационных ресурсах.</w:t>
      </w:r>
    </w:p>
    <w:p w:rsidR="00905CCC" w:rsidRPr="00D77836" w:rsidRDefault="008B0F52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. Повышение собираемости налогов, совершенствование администрирования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В очередном налоговом периоде будет продолжена работа, направленная на повышение уровня собираемости налогов и улучшения администрирования.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продолжена работа по увеличению доходов бюджета в рамках выполнения Плана мероприятий по мобилизации налоговых и неналоговых доходов бюджета </w:t>
      </w:r>
      <w:r w:rsidR="008B0F5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0A38" w:rsidRPr="00D77836" w:rsidRDefault="007A0A38" w:rsidP="007D1C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A0A38" w:rsidRPr="00D77836" w:rsidSect="00E57B3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CC"/>
    <w:rsid w:val="00001BDC"/>
    <w:rsid w:val="0002334E"/>
    <w:rsid w:val="000A0DCE"/>
    <w:rsid w:val="0016657E"/>
    <w:rsid w:val="001A0807"/>
    <w:rsid w:val="001C6B9B"/>
    <w:rsid w:val="002015BF"/>
    <w:rsid w:val="00311EDE"/>
    <w:rsid w:val="00323949"/>
    <w:rsid w:val="003A69C0"/>
    <w:rsid w:val="003D3EC8"/>
    <w:rsid w:val="00407E5A"/>
    <w:rsid w:val="004C3DFE"/>
    <w:rsid w:val="004D0300"/>
    <w:rsid w:val="00562312"/>
    <w:rsid w:val="005C73D4"/>
    <w:rsid w:val="005D2C58"/>
    <w:rsid w:val="005E448A"/>
    <w:rsid w:val="0061331D"/>
    <w:rsid w:val="00632457"/>
    <w:rsid w:val="00677E05"/>
    <w:rsid w:val="006F6B6A"/>
    <w:rsid w:val="0072286C"/>
    <w:rsid w:val="007A0A38"/>
    <w:rsid w:val="007A555A"/>
    <w:rsid w:val="007D1CBC"/>
    <w:rsid w:val="00845529"/>
    <w:rsid w:val="008B0F52"/>
    <w:rsid w:val="008B6855"/>
    <w:rsid w:val="00905CCC"/>
    <w:rsid w:val="00942441"/>
    <w:rsid w:val="0097670B"/>
    <w:rsid w:val="00A075F8"/>
    <w:rsid w:val="00A474C9"/>
    <w:rsid w:val="00BA2AA5"/>
    <w:rsid w:val="00BD16B8"/>
    <w:rsid w:val="00C21333"/>
    <w:rsid w:val="00C7138A"/>
    <w:rsid w:val="00C730F4"/>
    <w:rsid w:val="00C755A5"/>
    <w:rsid w:val="00C755C3"/>
    <w:rsid w:val="00CD15F2"/>
    <w:rsid w:val="00D21508"/>
    <w:rsid w:val="00D241B0"/>
    <w:rsid w:val="00D279F3"/>
    <w:rsid w:val="00D77836"/>
    <w:rsid w:val="00DE28A2"/>
    <w:rsid w:val="00E17ACA"/>
    <w:rsid w:val="00E57B3B"/>
    <w:rsid w:val="00E83A7D"/>
    <w:rsid w:val="00EE3506"/>
    <w:rsid w:val="00EE456A"/>
    <w:rsid w:val="00EE556C"/>
    <w:rsid w:val="00F1083E"/>
    <w:rsid w:val="00F2526F"/>
    <w:rsid w:val="00F9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5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C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0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rsid w:val="005C73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5C7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5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7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5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C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0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rsid w:val="005C73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5C7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5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7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28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93252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652B61A08AAD3C032A6100B09199BB80E3854199E581C36029E2C8772CDA3832A8352243ED9D8Ct143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652B61A08AAD3C032A6100B09199BB80E3854199E581C36029E2C8772CDA3832A8352243ED9D8Ft14A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72F4-8AE6-4399-B6FC-BFB00710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2</cp:revision>
  <cp:lastPrinted>2018-12-25T13:28:00Z</cp:lastPrinted>
  <dcterms:created xsi:type="dcterms:W3CDTF">2020-12-28T05:44:00Z</dcterms:created>
  <dcterms:modified xsi:type="dcterms:W3CDTF">2020-12-28T05:44:00Z</dcterms:modified>
</cp:coreProperties>
</file>