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95781CD">
      <w:pPr>
        <w:spacing w:after="0" w:line="240" w:lineRule="auto"/>
        <w:jc w:val="right"/>
        <w:rPr>
          <w:rFonts w:ascii="Times New Roman" w:hAnsi="Times New Roman" w:cs="Times New Roman"/>
          <w:b/>
          <w:sz w:val="32"/>
          <w:szCs w:val="32"/>
        </w:rPr>
      </w:pPr>
      <w:r>
        <w:rPr>
          <w:rFonts w:ascii="Times New Roman" w:hAnsi="Times New Roman" w:cs="Times New Roman"/>
          <w:b/>
          <w:sz w:val="32"/>
          <w:szCs w:val="32"/>
        </w:rPr>
        <w:t>ПРОЕКТ</w:t>
      </w:r>
    </w:p>
    <w:p w14:paraId="18CAF44E">
      <w:pPr>
        <w:spacing w:line="271" w:lineRule="auto"/>
        <w:contextualSpacing/>
        <w:rPr>
          <w:rFonts w:ascii="Times New Roman" w:hAnsi="Times New Roman"/>
          <w:b/>
          <w:sz w:val="28"/>
          <w:szCs w:val="28"/>
        </w:rPr>
      </w:pPr>
    </w:p>
    <w:p w14:paraId="18CAC8EA">
      <w:pPr>
        <w:spacing w:line="271" w:lineRule="auto"/>
        <w:ind w:left="5103"/>
        <w:contextualSpacing/>
        <w:jc w:val="right"/>
        <w:rPr>
          <w:rFonts w:ascii="Times New Roman" w:hAnsi="Times New Roman"/>
          <w:b/>
          <w:sz w:val="24"/>
          <w:szCs w:val="24"/>
        </w:rPr>
      </w:pPr>
      <w:bookmarkStart w:id="0" w:name="_GoBack"/>
      <w:r>
        <w:rPr>
          <w:rFonts w:ascii="Times New Roman" w:hAnsi="Times New Roman"/>
          <w:b/>
          <w:sz w:val="24"/>
          <w:szCs w:val="24"/>
        </w:rPr>
        <w:t>Приложение 1</w:t>
      </w:r>
    </w:p>
    <w:bookmarkEnd w:id="0"/>
    <w:p w14:paraId="599B0F96">
      <w:pPr>
        <w:spacing w:line="271" w:lineRule="auto"/>
        <w:ind w:left="4403" w:leftChars="0" w:firstLine="699" w:firstLineChars="291"/>
        <w:contextualSpacing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к распоряжению администрации сельского поселения </w:t>
      </w:r>
      <w:r>
        <w:rPr>
          <w:rFonts w:ascii="Times New Roman" w:hAnsi="Times New Roman"/>
          <w:b/>
          <w:sz w:val="24"/>
          <w:szCs w:val="24"/>
          <w:lang w:val="ru-RU"/>
        </w:rPr>
        <w:t>Пушкинский</w:t>
      </w:r>
      <w:r>
        <w:rPr>
          <w:rFonts w:hint="default" w:ascii="Times New Roman" w:hAnsi="Times New Roman"/>
          <w:b/>
          <w:sz w:val="24"/>
          <w:szCs w:val="24"/>
          <w:lang w:val="ru-RU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 xml:space="preserve">сельсовет </w:t>
      </w:r>
    </w:p>
    <w:p w14:paraId="368A8848">
      <w:pPr>
        <w:spacing w:line="271" w:lineRule="auto"/>
        <w:ind w:left="5103"/>
        <w:contextualSpacing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Добринского муниципального района Липецкой области </w:t>
      </w:r>
    </w:p>
    <w:p w14:paraId="7B9B12BC">
      <w:pPr>
        <w:spacing w:line="271" w:lineRule="auto"/>
        <w:ind w:left="5103"/>
        <w:contextualSpacing/>
        <w:jc w:val="right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№_______ от _______ 2025г.</w:t>
      </w:r>
    </w:p>
    <w:p w14:paraId="33AB8B84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319E1650">
      <w:pPr>
        <w:spacing w:after="0" w:line="240" w:lineRule="auto"/>
        <w:jc w:val="right"/>
        <w:rPr>
          <w:rFonts w:ascii="Times New Roman" w:hAnsi="Times New Roman" w:cs="Times New Roman"/>
          <w:b/>
          <w:sz w:val="28"/>
          <w:szCs w:val="28"/>
        </w:rPr>
      </w:pPr>
    </w:p>
    <w:p w14:paraId="4D1B4487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ДОКЛАД</w:t>
      </w:r>
    </w:p>
    <w:p w14:paraId="10663406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 ПРАВОПРИМЕНИТЕЛЬНОЙ ПРАКТИКЕ</w:t>
      </w:r>
    </w:p>
    <w:p w14:paraId="2A20CB95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ПРИ ОСУЩЕСТВЛЕНИИ АДМИНИСТРАЦИЕЙ СЕЛЬСКОГО ПОСЕЛЕНИЯ </w:t>
      </w:r>
      <w:r>
        <w:rPr>
          <w:rFonts w:ascii="Times New Roman" w:hAnsi="Times New Roman" w:cs="Times New Roman"/>
          <w:b/>
          <w:sz w:val="28"/>
          <w:szCs w:val="28"/>
          <w:lang w:val="ru-RU"/>
        </w:rPr>
        <w:t>ПУШКИНСКИЙ</w:t>
      </w:r>
      <w:r>
        <w:rPr>
          <w:rFonts w:ascii="Times New Roman" w:hAnsi="Times New Roman" w:cs="Times New Roman"/>
          <w:b/>
          <w:sz w:val="28"/>
          <w:szCs w:val="28"/>
        </w:rPr>
        <w:t xml:space="preserve"> СЕЛЬСОВЕТ ДОБРИНСКОГО МУНИЦИПАЛЬНОГО РАЙОНА ЛИПЕЦКОЙ ОБЛАСТИ</w:t>
      </w:r>
    </w:p>
    <w:p w14:paraId="472ED31E">
      <w:pPr>
        <w:spacing w:after="0" w:line="240" w:lineRule="auto"/>
        <w:ind w:firstLine="425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МУНИЦИПАЛЬНОГО КОНТРОЛЯ В СФЕРЕ БЛАГОУСТРОЙСТВА В 2024 ГОДУ</w:t>
      </w:r>
    </w:p>
    <w:p w14:paraId="0B394EDE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Настоящий доклад подготовлен в соответствии с частью 3 статьи 47 Федерального закона</w:t>
      </w:r>
      <w: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от 31.07.2020 № 248-ФЗ «О государственном контроле (надзоре) и муниципальном контроле в Российской Федерации», постановлением Правительства Российской Федерации от 07.12.2020г. №2041 «Об утверждении требований к подготовке докладов о видах государственном контроле (надзора), муниципального контроля и сводного доклада о государственном контроле (надзоре), муниципальном контроле в Российской Федерации».</w:t>
      </w:r>
    </w:p>
    <w:p w14:paraId="30934BE1">
      <w:pPr>
        <w:spacing w:before="220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1. Общие сведения</w:t>
      </w:r>
    </w:p>
    <w:p w14:paraId="37CA1B48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Муниципальный контроль в сфере благоустройства на территории сельского поселения Пушкинский сельсовет Добринского муниципального района Липецкой области осуществлялся на основании следующих нормативных правовых актов: </w:t>
      </w:r>
    </w:p>
    <w:p w14:paraId="5F855C24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</w:pPr>
      <w:r>
        <w:rPr>
          <w:rFonts w:ascii="Times New Roman" w:hAnsi="Times New Roman" w:eastAsia="Times New Roman" w:cs="Times New Roman"/>
          <w:bCs/>
          <w:sz w:val="28"/>
          <w:szCs w:val="28"/>
          <w:lang w:eastAsia="zh-CN"/>
        </w:rPr>
        <w:t>- Федерального закона от 31.07.2020 № 248-ФЗ «О государственном контроле (надзоре) и муниципальном контроле в Российской Федерации»;</w:t>
      </w:r>
    </w:p>
    <w:p w14:paraId="47992271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Федерального закона от 06.10.2003 № 131-ФЗ «Об общих принципах организации местного самоуправления в Российской Федерации»;</w:t>
      </w:r>
    </w:p>
    <w:p w14:paraId="6F8A1BDC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Постановления Правительства РФ от 10.03.2022 № 336 «Об особенностях организации и осуществления государственного контроля (надзора), муниципального контроля»;</w:t>
      </w:r>
    </w:p>
    <w:p w14:paraId="0066A2B3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 Устава сельского поселения Пушкинский сельсовет Добринского муниципального района Липецкой области;</w:t>
      </w:r>
    </w:p>
    <w:p w14:paraId="4EEC77C2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- Положения «О муниципальном контроле в сфере благоустройства на территории сельского поселения Пушкинский сельсовет Добринского муниципального района Липецкой области», принятого Решением Совета депутатов сельского поселения Пушкинский сельсовет Добринского муниципального района Липецкой области от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24.12.2021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 № </w:t>
      </w:r>
      <w:r>
        <w:rPr>
          <w:rFonts w:hint="default" w:ascii="Times New Roman" w:hAnsi="Times New Roman" w:eastAsia="Times New Roman" w:cs="Times New Roman"/>
          <w:sz w:val="28"/>
          <w:szCs w:val="28"/>
          <w:lang w:val="en-US" w:eastAsia="ru-RU"/>
        </w:rPr>
        <w:t>60</w:t>
      </w: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-рс (далее – Положение);</w:t>
      </w:r>
    </w:p>
    <w:p w14:paraId="2E13EA61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иных нормативных правовых актов.</w:t>
      </w:r>
    </w:p>
    <w:p w14:paraId="4F3F9FBF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Органом местного самоуправления, уполномоченным на осуществление муниципального контроля, является администрация сельского поселения О муниципальном контроле в сфере благоустройства на территории сельского поселения Пушкинский сельсовет сельсовет Добринского муниципального района Липецкой области (далее - уполномоченный орган).</w:t>
      </w:r>
    </w:p>
    <w:p w14:paraId="3295DB1A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Предметом муниципального контроля является соблюдение юридическими лицами, индивидуальными предпринимателями и гражданами (далее - контролируемые лица) следующих обязательных требований, установленных Федеральным законом от 06.10.2003 № 131-ФЗ «Об общих принципах организации местного самоуправления в Российской Федерации» и принимаемыми в соответствии с ним иными нормативными правовыми актами Российской Федерации, законами и иными нормативными правовыми актами Липецкой области, Уставом сельского поселения, Правилами благоустройства сельского поселения, иными нормативными правовыми актами:</w:t>
      </w:r>
    </w:p>
    <w:p w14:paraId="2B329FF4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1) соблюдение контролируемыми лицами Правил благоустройства территории сельского поселения О муниципальном контроле в сфере благоустройства на территории сельского поселения Пушкинский сельсовет сельсовет Добринского муниципального района;</w:t>
      </w:r>
    </w:p>
    <w:p w14:paraId="1B8AD8E7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2) соблюдение контролируемыми лицами требований к обеспечению доступности для инвалидов объектов социальной, инженерной и транспортной инфраструктур и предоставляемых услуг, установленных Федеральным законом от 24.11.1995 № 181-ФЗ «О социальной защите инвалидов в Российской Федерации» на территории сельского поселения О муниципальном контроле в сфере благоустройства на территории сельского поселения Пушкинский сельсовет сельсовет Добринского муниципального района.</w:t>
      </w:r>
    </w:p>
    <w:p w14:paraId="0DADA804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Объектами муниципального контроля (далее - объект контроля) являются: </w:t>
      </w:r>
    </w:p>
    <w:p w14:paraId="31D949B4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деятельность, действия (бездействие) граждан и организаций, в рамках которых должны соблюдаться обязательные требования, в том числе предъявляемые к гражданам и организациям, осуществляющим деятельность, действия (бездействие), </w:t>
      </w:r>
    </w:p>
    <w:p w14:paraId="6702A53E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результаты деятельности граждан и организаций, в том числе продукция (товары), работы и услуги, к которым предъявляются обязательные требования, </w:t>
      </w:r>
    </w:p>
    <w:p w14:paraId="7A6A5D10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здания, помещения, сооружения и иные производственные объекты, установленные статьей 16 Федерального закона от 31 июля 2020 года № 248-ФЗ "О государственном контроле (надзоре) и муниципальном контроле в Российской Федерации", в сфере благоустройства.</w:t>
      </w:r>
    </w:p>
    <w:p w14:paraId="5176C61E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 xml:space="preserve">Положением определены ключевые показатели вида контроля и их целевые значения. </w:t>
      </w:r>
    </w:p>
    <w:p w14:paraId="0D9EFC66">
      <w:pPr>
        <w:spacing w:before="220" w:after="0" w:line="240" w:lineRule="auto"/>
        <w:ind w:firstLine="426"/>
        <w:jc w:val="center"/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2. Сведения об организации муниципального контроля в сфере благоустройства на территории сельского поселения</w:t>
      </w:r>
    </w:p>
    <w:p w14:paraId="0B70CA44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При осуществлении муниципального контроля система оценки и управления рисками причинения вреда (ущерба) охраняемым законом ценностям не применяется, если иное не установлено федеральным законом о виде контроля, общими требованиями к организации и осуществлению данного вида муниципального контроля, утвержденными Правительством Российской Федерации.</w:t>
      </w:r>
    </w:p>
    <w:p w14:paraId="1A93AD40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соответствии с частью 2 статьи 61 Федерального закона от 31 июля 2020 года № 248-ФЗ "О государственном контроле (надзоре) и муниципальном контроле в Российской Федерации" муниципальный контроль осуществляется без проведения плановых мероприятий.</w:t>
      </w:r>
    </w:p>
    <w:p w14:paraId="36009A85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соответствии с частью 3 статьи 66 Федерального закона от 31 июля 2020 года «О государственном контроле (надзоре) и муниципальном контроле в Российской Федерации» все внеплановые контрольные мероприятия могут проводиться только после согласования с органами прокуратуры.</w:t>
      </w:r>
    </w:p>
    <w:p w14:paraId="5D3A17C8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Администрацией сельского поселения внесена необходимая информация и документы в Единый реестр видов контроля (ЕРВК).</w:t>
      </w:r>
    </w:p>
    <w:p w14:paraId="13BECF52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Досудебное обжалование при осуществлении контроля не применяется. В 2024 году жалоб на действия должностных лиц органа контроля не поступало.</w:t>
      </w:r>
    </w:p>
    <w:p w14:paraId="3F9F33EB">
      <w:pPr>
        <w:spacing w:before="220" w:after="0" w:line="240" w:lineRule="auto"/>
        <w:ind w:firstLine="426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b/>
          <w:sz w:val="28"/>
          <w:szCs w:val="28"/>
          <w:lang w:eastAsia="ru-RU"/>
        </w:rPr>
        <w:t>4. Сведения о контрольных и профилактических мероприятиях</w:t>
      </w:r>
    </w:p>
    <w:p w14:paraId="0B2234A6">
      <w:pPr>
        <w:spacing w:line="271" w:lineRule="auto"/>
        <w:ind w:firstLine="426"/>
        <w:contextualSpacing/>
        <w:jc w:val="both"/>
        <w:rPr>
          <w:rFonts w:ascii="Times New Roman" w:hAnsi="Times New Roman"/>
          <w:sz w:val="28"/>
          <w:szCs w:val="28"/>
        </w:rPr>
      </w:pPr>
    </w:p>
    <w:p w14:paraId="24EE5E4F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целях предотвращения совершения контролируемыми лицами нарушений обязательных требований уполномоченный орган проводит следующие профилактические мероприятия:</w:t>
      </w:r>
    </w:p>
    <w:p w14:paraId="67A4C47A">
      <w:pPr>
        <w:pStyle w:val="10"/>
        <w:numPr>
          <w:ilvl w:val="0"/>
          <w:numId w:val="1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информирование;</w:t>
      </w:r>
    </w:p>
    <w:p w14:paraId="37127CF9">
      <w:pPr>
        <w:pStyle w:val="10"/>
        <w:numPr>
          <w:ilvl w:val="0"/>
          <w:numId w:val="1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консультирование;</w:t>
      </w:r>
    </w:p>
    <w:p w14:paraId="5B513193">
      <w:pPr>
        <w:pStyle w:val="10"/>
        <w:numPr>
          <w:ilvl w:val="0"/>
          <w:numId w:val="1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обобщение правоприменительной практики;</w:t>
      </w:r>
    </w:p>
    <w:p w14:paraId="359CBDC9">
      <w:pPr>
        <w:pStyle w:val="10"/>
        <w:numPr>
          <w:ilvl w:val="0"/>
          <w:numId w:val="1"/>
        </w:numPr>
        <w:spacing w:before="220" w:after="0" w:line="240" w:lineRule="auto"/>
        <w:ind w:left="0" w:firstLine="425"/>
        <w:contextualSpacing w:val="0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профилактический визит.</w:t>
      </w:r>
    </w:p>
    <w:p w14:paraId="39120518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 w:eastAsia="Times New Roman" w:cs="Times New Roman"/>
          <w:sz w:val="28"/>
          <w:szCs w:val="28"/>
          <w:lang w:eastAsia="ru-RU"/>
        </w:rPr>
        <w:t>В 2024 году консультирований и профилактических визитов не проводилось ввиду отсутствия обращений.</w:t>
      </w:r>
    </w:p>
    <w:p w14:paraId="31223CA9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Положением предусмотрено осуществление информирования по вопросам соблюдения обязательных требований посредством размещения необходимых сведений в соответствии с положениями </w:t>
      </w:r>
      <w:r>
        <w:fldChar w:fldCharType="begin"/>
      </w:r>
      <w:r>
        <w:instrText xml:space="preserve"> HYPERLINK "consultantplus://offline/ref=F2B8FC594A07C00ACFEA32322FFA3042CB65474C0A7E6FEC13177CC913C81BC8DA438500426FB96AEC5D6A957EFC1B37FCC9597FA88B54E5L43EL" </w:instrText>
      </w:r>
      <w:r>
        <w:fldChar w:fldCharType="separate"/>
      </w:r>
      <w:r>
        <w:rPr>
          <w:rFonts w:ascii="Times New Roman" w:hAnsi="Times New Roman"/>
          <w:sz w:val="28"/>
          <w:szCs w:val="28"/>
        </w:rPr>
        <w:t>статьи 46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на официальном сайте уполномоченного органа в сети «Интернет», а также в средствах массовой информации, через личные кабинеты контролируемых лиц в государственных информационных системах (при их наличии) и в иных формах.</w:t>
      </w:r>
    </w:p>
    <w:p w14:paraId="2DD95382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Указанные сведения размещены Уполномоченным органом на своем официальном сайте в сети Интернет и поддерживаются в актуальном состоянии.</w:t>
      </w:r>
    </w:p>
    <w:p w14:paraId="0A81EAD4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Положение предусматривает консультирование в соответствии с утвержденным графиком контролируемых лиц должностными лицами уполномоченного органа и их представителей в соответствии с положениями </w:t>
      </w:r>
      <w:r>
        <w:fldChar w:fldCharType="begin"/>
      </w:r>
      <w:r>
        <w:instrText xml:space="preserve"> HYPERLINK "consultantplus://offline/ref=F2B8FC594A07C00ACFEA32322FFA3042CB65474C0A7E6FEC13177CC913C81BC8DA438500426FB96FE65D6A957EFC1B37FCC9597FA88B54E5L43EL" </w:instrText>
      </w:r>
      <w:r>
        <w:fldChar w:fldCharType="separate"/>
      </w:r>
      <w:r>
        <w:rPr>
          <w:rFonts w:ascii="Times New Roman" w:hAnsi="Times New Roman"/>
          <w:sz w:val="28"/>
          <w:szCs w:val="28"/>
        </w:rPr>
        <w:t>статьи 50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по вопросам, касающимся организации и осуществления муниципального контроля, в том числе по телефону, посредством видео-конференц-связи, на личном приеме, либо в ходе проведения профилактического мероприятия или контрольного мероприятия, а также осуществление письменного консультирования по следующим вопросам:</w:t>
      </w:r>
    </w:p>
    <w:p w14:paraId="7FAA38CD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1) порядка применения положений нормативных правовых актов, содержащих обязательные требования, соблюдение которых является предметом муниципального контроля;</w:t>
      </w:r>
    </w:p>
    <w:p w14:paraId="52089DAA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2) порядка проведения контрольных мероприятий;</w:t>
      </w:r>
    </w:p>
    <w:p w14:paraId="1A1390BB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3) периодичности проведения контрольных мероприятий;</w:t>
      </w:r>
    </w:p>
    <w:p w14:paraId="12BE55F2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4) порядка принятия решений по итогам контрольных мероприятий;</w:t>
      </w:r>
    </w:p>
    <w:p w14:paraId="25EE3CE9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5) порядка обжалования решений, действия (бездействия) должностных лиц уполномоченного органа.</w:t>
      </w:r>
    </w:p>
    <w:p w14:paraId="445D70BF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Уполномоченным органом утвержден и размещен на официальном сайте график консультирования на 2024 год. </w:t>
      </w:r>
    </w:p>
    <w:p w14:paraId="5BE572EA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В 2024 году консультирование не осуществлялось в связи с отсутствием обращений.</w:t>
      </w:r>
    </w:p>
    <w:p w14:paraId="14B4B191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целях снижения рисков причинения вреда (ущерба) на объектах контроля и оптимизации проведения контрольных мероприятий уполномоченный орган в соответствии со </w:t>
      </w:r>
      <w:r>
        <w:fldChar w:fldCharType="begin"/>
      </w:r>
      <w:r>
        <w:instrText xml:space="preserve"> HYPERLINK "consultantplus://offline/ref=F2B8FC594A07C00ACFEA32322FFA3042CB65474C0A7E6FEC13177CC913C81BC8DA438500426FB962E75D6A957EFC1B37FCC9597FA88B54E5L43EL" </w:instrText>
      </w:r>
      <w:r>
        <w:fldChar w:fldCharType="separate"/>
      </w:r>
      <w:r>
        <w:rPr>
          <w:rFonts w:ascii="Times New Roman" w:hAnsi="Times New Roman"/>
          <w:sz w:val="28"/>
          <w:szCs w:val="28"/>
        </w:rPr>
        <w:t>статьей 53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формирует и утверждает проверочные листы (списки контрольных вопросов, ответы на которые свидетельствуют о соблюдении или несоблюдении контролируемым лицом обязательных требований).</w:t>
      </w:r>
    </w:p>
    <w:p w14:paraId="42943118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 xml:space="preserve">Уполномоченный орган ежегодно разрабатывает и утверждает программу профилактики рисков причинения вреда (ущерба) охраняемым законом ценностям (далее - программа профилактики рисков причинения вреда) в порядке, установленном в соответствии со </w:t>
      </w:r>
      <w:r>
        <w:fldChar w:fldCharType="begin"/>
      </w:r>
      <w:r>
        <w:instrText xml:space="preserve"> HYPERLINK "consultantplus://offline/ref=F2B8FC594A07C00ACFEA32322FFA3042CB65474C0A7E6FEC13177CC913C81BC8DA438500426FB862E75D6A957EFC1B37FCC9597FA88B54E5L43EL" </w:instrText>
      </w:r>
      <w:r>
        <w:fldChar w:fldCharType="separate"/>
      </w:r>
      <w:r>
        <w:rPr>
          <w:rFonts w:ascii="Times New Roman" w:hAnsi="Times New Roman"/>
          <w:sz w:val="28"/>
          <w:szCs w:val="28"/>
        </w:rPr>
        <w:t>статьей 44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Федерального закона от 31 июля 2020 года № 248-ФЗ «О государственном контроле (надзоре) и муниципальном контроле в Российской Федерации» и </w:t>
      </w:r>
      <w:r>
        <w:fldChar w:fldCharType="begin"/>
      </w:r>
      <w:r>
        <w:instrText xml:space="preserve"> HYPERLINK "consultantplus://offline/ref=F2B8FC594A07C00ACFEA32322FFA3042CC6F4D4B03746FEC13177CC913C81BC8DA438500426FBC6BE45D6A957EFC1B37FCC9597FA88B54E5L43EL" </w:instrText>
      </w:r>
      <w:r>
        <w:fldChar w:fldCharType="separate"/>
      </w:r>
      <w:r>
        <w:rPr>
          <w:rFonts w:ascii="Times New Roman" w:hAnsi="Times New Roman"/>
          <w:sz w:val="28"/>
          <w:szCs w:val="28"/>
        </w:rPr>
        <w:t>Правилами</w:t>
      </w:r>
      <w:r>
        <w:rPr>
          <w:rFonts w:ascii="Times New Roman" w:hAnsi="Times New Roman"/>
          <w:sz w:val="28"/>
          <w:szCs w:val="28"/>
        </w:rPr>
        <w:fldChar w:fldCharType="end"/>
      </w:r>
      <w:r>
        <w:rPr>
          <w:rFonts w:ascii="Times New Roman" w:hAnsi="Times New Roman"/>
          <w:sz w:val="28"/>
          <w:szCs w:val="28"/>
        </w:rPr>
        <w:t xml:space="preserve"> разработки и утверждения контрольными (надзорными) органами программы профилактики рисков причинения вреда (ущерба) охраняемым законом ценностям, утвержденными постановлением Правительства Российской Федерации от 25 июня 2021 года № 990.</w:t>
      </w:r>
    </w:p>
    <w:p w14:paraId="23E65781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Муниципальный контроль осуществляется уполномоченным органом посредством контрольных мероприятий, проводимых при взаимодействии с контролируемым лицом, и контрольных мероприятий, проводимых без взаимодействия с контролируемым лицом.</w:t>
      </w:r>
    </w:p>
    <w:p w14:paraId="60ECD3F0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При взаимодействии с контролируемым лицом Положением предусмотрено проведение следующих контрольных мероприятий:</w:t>
      </w:r>
    </w:p>
    <w:p w14:paraId="63C21027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1) инспекционный визит;</w:t>
      </w:r>
    </w:p>
    <w:p w14:paraId="7EC332C2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2) рейдовый осмотр;</w:t>
      </w:r>
    </w:p>
    <w:p w14:paraId="3ED8FBCA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3) документарная проверка;</w:t>
      </w:r>
    </w:p>
    <w:p w14:paraId="3BBFCDC9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4) внеплановая выездная проверка.</w:t>
      </w:r>
    </w:p>
    <w:p w14:paraId="11770758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Без взаимодействия с контролируемым лицом Положением предусмотрено проведение следующих контрольных мероприятий:</w:t>
      </w:r>
    </w:p>
    <w:p w14:paraId="2FBC6504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1) наблюдение за соблюдением обязательных требований;</w:t>
      </w:r>
    </w:p>
    <w:p w14:paraId="2AD38ED7">
      <w:pPr>
        <w:spacing w:before="220" w:after="0" w:line="240" w:lineRule="auto"/>
        <w:ind w:firstLine="426"/>
        <w:jc w:val="both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2) выездное обследование.</w:t>
      </w:r>
    </w:p>
    <w:p w14:paraId="37B9C37B">
      <w:pPr>
        <w:spacing w:before="220" w:after="0" w:line="240" w:lineRule="auto"/>
        <w:ind w:firstLine="426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 2022 году контрольные (надзорные) мероприятия в рамках осуществления муниципального контроля в сфере благоустройства не проводились в связи с мораторием, установленным Постановлением Правительства РФ от 10 марта 2022 № 336 «Об особенностях организации и осуществления государственного контроля (надзора), муниципального контроля», и в связи с отсутствием оснований для проведения контрольных (надзорных) мероприятий. </w:t>
      </w:r>
    </w:p>
    <w:p w14:paraId="301FCEE6">
      <w:pPr>
        <w:spacing w:before="220" w:after="0" w:line="240" w:lineRule="auto"/>
        <w:ind w:firstLine="426"/>
        <w:jc w:val="center"/>
        <w:rPr>
          <w:rFonts w:ascii="Times New Roman" w:hAnsi="Times New Roman" w:eastAsia="Times New Roman" w:cs="Times New Roman"/>
          <w:sz w:val="28"/>
          <w:szCs w:val="28"/>
          <w:lang w:eastAsia="ru-RU"/>
        </w:rPr>
      </w:pPr>
      <w:r>
        <w:rPr>
          <w:rFonts w:ascii="Times New Roman" w:hAnsi="Times New Roman"/>
          <w:b/>
          <w:bCs/>
          <w:sz w:val="28"/>
          <w:szCs w:val="28"/>
        </w:rPr>
        <w:t xml:space="preserve">5. </w:t>
      </w:r>
      <w:r>
        <w:rPr>
          <w:rFonts w:ascii="Times New Roman" w:hAnsi="Times New Roman" w:cs="Times New Roman"/>
          <w:b/>
          <w:bCs/>
          <w:sz w:val="28"/>
          <w:szCs w:val="28"/>
        </w:rPr>
        <w:t>Выводы</w:t>
      </w:r>
      <w:r>
        <w:rPr>
          <w:rFonts w:ascii="Times New Roman" w:hAnsi="Times New Roman" w:cs="Times New Roman"/>
          <w:b/>
          <w:sz w:val="28"/>
          <w:szCs w:val="28"/>
        </w:rPr>
        <w:t xml:space="preserve"> и предложения </w:t>
      </w:r>
    </w:p>
    <w:p w14:paraId="3401FD11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Основной задачей в сфере муниципального контроля в отчётном периоде являлось осуществление комплекса профилактических мероприятий, направленных на предупреждение, выявление и пресечение нарушений законодательства. В соответствии с Постановлением Правительства РФ от 10.03.2022 № 336 «Об особенностях организации и осуществления государственного контроля (надзора), муниципального контроля», а также ввиду эффективности профилактической работы, связанной в том числе с повышением уровня информированности контролируемых лиц, профилактическая работа продолжает оставаться приоритетным направлением осуществляемого вида муниципального контроля.</w:t>
      </w:r>
    </w:p>
    <w:p w14:paraId="289DEB11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пунктом 10 данного постановления были проведены профилактические мероприятия. Приоритетным направлением среди профилактических мероприятий выступило информирование. Данное обстоятельство продиктовано тем, что обращений за консультированием в контрольный орган не поступало.</w:t>
      </w:r>
    </w:p>
    <w:p w14:paraId="76C0CDD0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Случаев причинения контролируемыми лицами вреда жизни и здоровью граждан, вреда животным, растениям, окружающей среде, объектам культурного наследия (памятникам истории и культуры) народов Российской Федерации, имуществу физических и юридических лиц, безопасности государства, возникновения чрезвычайных ситуаций природного и техногенного характера не установлено.</w:t>
      </w:r>
    </w:p>
    <w:p w14:paraId="159EE6B0">
      <w:pPr>
        <w:spacing w:before="220" w:after="0" w:line="240" w:lineRule="auto"/>
        <w:ind w:firstLine="426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Предложений о совершенствовании нормативного правового регулирования не имеется.</w:t>
      </w:r>
    </w:p>
    <w:sectPr>
      <w:pgSz w:w="11906" w:h="16838"/>
      <w:pgMar w:top="1007" w:right="850" w:bottom="1134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DB75861"/>
    <w:multiLevelType w:val="multilevel"/>
    <w:tmpl w:val="0DB75861"/>
    <w:lvl w:ilvl="0" w:tentative="0">
      <w:start w:val="1"/>
      <w:numFmt w:val="decimal"/>
      <w:suff w:val="space"/>
      <w:lvlText w:val="%1)"/>
      <w:lvlJc w:val="left"/>
      <w:pPr>
        <w:ind w:left="1624" w:hanging="915"/>
      </w:pPr>
      <w:rPr>
        <w:rFonts w:hint="default"/>
      </w:rPr>
    </w:lvl>
    <w:lvl w:ilvl="1" w:tentative="0">
      <w:start w:val="1"/>
      <w:numFmt w:val="lowerLetter"/>
      <w:lvlText w:val="%2."/>
      <w:lvlJc w:val="left"/>
      <w:pPr>
        <w:ind w:left="1789" w:hanging="360"/>
      </w:pPr>
    </w:lvl>
    <w:lvl w:ilvl="2" w:tentative="0">
      <w:start w:val="1"/>
      <w:numFmt w:val="lowerRoman"/>
      <w:lvlText w:val="%3."/>
      <w:lvlJc w:val="right"/>
      <w:pPr>
        <w:ind w:left="2509" w:hanging="180"/>
      </w:pPr>
    </w:lvl>
    <w:lvl w:ilvl="3" w:tentative="0">
      <w:start w:val="1"/>
      <w:numFmt w:val="decimal"/>
      <w:lvlText w:val="%4."/>
      <w:lvlJc w:val="left"/>
      <w:pPr>
        <w:ind w:left="3229" w:hanging="360"/>
      </w:pPr>
    </w:lvl>
    <w:lvl w:ilvl="4" w:tentative="0">
      <w:start w:val="1"/>
      <w:numFmt w:val="lowerLetter"/>
      <w:lvlText w:val="%5."/>
      <w:lvlJc w:val="left"/>
      <w:pPr>
        <w:ind w:left="3949" w:hanging="360"/>
      </w:pPr>
    </w:lvl>
    <w:lvl w:ilvl="5" w:tentative="0">
      <w:start w:val="1"/>
      <w:numFmt w:val="lowerRoman"/>
      <w:lvlText w:val="%6."/>
      <w:lvlJc w:val="right"/>
      <w:pPr>
        <w:ind w:left="4669" w:hanging="180"/>
      </w:pPr>
    </w:lvl>
    <w:lvl w:ilvl="6" w:tentative="0">
      <w:start w:val="1"/>
      <w:numFmt w:val="decimal"/>
      <w:lvlText w:val="%7."/>
      <w:lvlJc w:val="left"/>
      <w:pPr>
        <w:ind w:left="5389" w:hanging="360"/>
      </w:pPr>
    </w:lvl>
    <w:lvl w:ilvl="7" w:tentative="0">
      <w:start w:val="1"/>
      <w:numFmt w:val="lowerLetter"/>
      <w:lvlText w:val="%8."/>
      <w:lvlJc w:val="left"/>
      <w:pPr>
        <w:ind w:left="6109" w:hanging="360"/>
      </w:pPr>
    </w:lvl>
    <w:lvl w:ilvl="8" w:tentative="0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C51F6"/>
    <w:rsid w:val="000043F4"/>
    <w:rsid w:val="00007720"/>
    <w:rsid w:val="00037D97"/>
    <w:rsid w:val="00042185"/>
    <w:rsid w:val="000425D5"/>
    <w:rsid w:val="00080D18"/>
    <w:rsid w:val="000A1431"/>
    <w:rsid w:val="000C074F"/>
    <w:rsid w:val="0010172C"/>
    <w:rsid w:val="00106D0D"/>
    <w:rsid w:val="0011790E"/>
    <w:rsid w:val="001259AC"/>
    <w:rsid w:val="00163709"/>
    <w:rsid w:val="001B121F"/>
    <w:rsid w:val="00206CC0"/>
    <w:rsid w:val="002157CC"/>
    <w:rsid w:val="002301B9"/>
    <w:rsid w:val="00237563"/>
    <w:rsid w:val="00243B31"/>
    <w:rsid w:val="0026507C"/>
    <w:rsid w:val="00292808"/>
    <w:rsid w:val="002A0478"/>
    <w:rsid w:val="002A3C09"/>
    <w:rsid w:val="002C2AD1"/>
    <w:rsid w:val="002C447A"/>
    <w:rsid w:val="002D3C69"/>
    <w:rsid w:val="00313413"/>
    <w:rsid w:val="003257BB"/>
    <w:rsid w:val="00326740"/>
    <w:rsid w:val="00337717"/>
    <w:rsid w:val="003411E4"/>
    <w:rsid w:val="00361B95"/>
    <w:rsid w:val="003715D8"/>
    <w:rsid w:val="003749E5"/>
    <w:rsid w:val="003A3538"/>
    <w:rsid w:val="003E5AB5"/>
    <w:rsid w:val="004079CE"/>
    <w:rsid w:val="00415A44"/>
    <w:rsid w:val="00442352"/>
    <w:rsid w:val="0048004E"/>
    <w:rsid w:val="004A7DB4"/>
    <w:rsid w:val="004C13FF"/>
    <w:rsid w:val="00503396"/>
    <w:rsid w:val="00516648"/>
    <w:rsid w:val="0052060B"/>
    <w:rsid w:val="00523241"/>
    <w:rsid w:val="0053628F"/>
    <w:rsid w:val="00585D2E"/>
    <w:rsid w:val="00590D7B"/>
    <w:rsid w:val="005B1267"/>
    <w:rsid w:val="005B192F"/>
    <w:rsid w:val="005C3249"/>
    <w:rsid w:val="005D4276"/>
    <w:rsid w:val="005D6FAF"/>
    <w:rsid w:val="005F5694"/>
    <w:rsid w:val="00621145"/>
    <w:rsid w:val="0064088E"/>
    <w:rsid w:val="006524A1"/>
    <w:rsid w:val="006535F4"/>
    <w:rsid w:val="00662B25"/>
    <w:rsid w:val="006809F7"/>
    <w:rsid w:val="006931E2"/>
    <w:rsid w:val="006C51F6"/>
    <w:rsid w:val="006E4502"/>
    <w:rsid w:val="006E4E05"/>
    <w:rsid w:val="006E58FB"/>
    <w:rsid w:val="00710B28"/>
    <w:rsid w:val="00735796"/>
    <w:rsid w:val="00736C4B"/>
    <w:rsid w:val="00771FA8"/>
    <w:rsid w:val="007A668D"/>
    <w:rsid w:val="007C203C"/>
    <w:rsid w:val="007D49F3"/>
    <w:rsid w:val="007E7273"/>
    <w:rsid w:val="008426FC"/>
    <w:rsid w:val="0084303F"/>
    <w:rsid w:val="00891681"/>
    <w:rsid w:val="00893EA4"/>
    <w:rsid w:val="008A0236"/>
    <w:rsid w:val="008A7CC5"/>
    <w:rsid w:val="008A7E3A"/>
    <w:rsid w:val="008B1A08"/>
    <w:rsid w:val="008B6234"/>
    <w:rsid w:val="008C049F"/>
    <w:rsid w:val="008E4601"/>
    <w:rsid w:val="00937E8C"/>
    <w:rsid w:val="009460EB"/>
    <w:rsid w:val="00947936"/>
    <w:rsid w:val="0098642B"/>
    <w:rsid w:val="00986488"/>
    <w:rsid w:val="009B126D"/>
    <w:rsid w:val="009D3BAB"/>
    <w:rsid w:val="009F2C9B"/>
    <w:rsid w:val="00A009F4"/>
    <w:rsid w:val="00A348F8"/>
    <w:rsid w:val="00A43F98"/>
    <w:rsid w:val="00A44377"/>
    <w:rsid w:val="00A64A53"/>
    <w:rsid w:val="00A73EA8"/>
    <w:rsid w:val="00A74123"/>
    <w:rsid w:val="00A8176B"/>
    <w:rsid w:val="00AD0F89"/>
    <w:rsid w:val="00AE4310"/>
    <w:rsid w:val="00AF5618"/>
    <w:rsid w:val="00B357F4"/>
    <w:rsid w:val="00B41BAC"/>
    <w:rsid w:val="00B451E9"/>
    <w:rsid w:val="00B4573E"/>
    <w:rsid w:val="00B544F8"/>
    <w:rsid w:val="00B75851"/>
    <w:rsid w:val="00B77024"/>
    <w:rsid w:val="00B969A1"/>
    <w:rsid w:val="00BE7BF8"/>
    <w:rsid w:val="00BF44E0"/>
    <w:rsid w:val="00C433A0"/>
    <w:rsid w:val="00C63632"/>
    <w:rsid w:val="00C70875"/>
    <w:rsid w:val="00C8090E"/>
    <w:rsid w:val="00C80F27"/>
    <w:rsid w:val="00CB3749"/>
    <w:rsid w:val="00CC7F66"/>
    <w:rsid w:val="00CC7FB9"/>
    <w:rsid w:val="00CE36A0"/>
    <w:rsid w:val="00CF0DEA"/>
    <w:rsid w:val="00CF1D6E"/>
    <w:rsid w:val="00CF6BCA"/>
    <w:rsid w:val="00D170FA"/>
    <w:rsid w:val="00D37CEA"/>
    <w:rsid w:val="00D43E71"/>
    <w:rsid w:val="00D46ED4"/>
    <w:rsid w:val="00D473C3"/>
    <w:rsid w:val="00D72B42"/>
    <w:rsid w:val="00D77C4D"/>
    <w:rsid w:val="00D827B2"/>
    <w:rsid w:val="00DA74E1"/>
    <w:rsid w:val="00DB4417"/>
    <w:rsid w:val="00DD6E53"/>
    <w:rsid w:val="00DE1444"/>
    <w:rsid w:val="00E13A48"/>
    <w:rsid w:val="00E1760A"/>
    <w:rsid w:val="00E21E15"/>
    <w:rsid w:val="00E36710"/>
    <w:rsid w:val="00E40F0C"/>
    <w:rsid w:val="00EB0C99"/>
    <w:rsid w:val="00EE057C"/>
    <w:rsid w:val="00EE761E"/>
    <w:rsid w:val="00F3639D"/>
    <w:rsid w:val="00F467B8"/>
    <w:rsid w:val="00F73753"/>
    <w:rsid w:val="00FA2F61"/>
    <w:rsid w:val="113602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Balloon Text"/>
    <w:basedOn w:val="1"/>
    <w:link w:val="7"/>
    <w:semiHidden/>
    <w:unhideWhenUsed/>
    <w:uiPriority w:val="99"/>
    <w:pPr>
      <w:spacing w:after="0" w:line="240" w:lineRule="auto"/>
    </w:pPr>
    <w:rPr>
      <w:rFonts w:ascii="Tahoma" w:hAnsi="Tahoma" w:cs="Tahoma"/>
      <w:sz w:val="16"/>
      <w:szCs w:val="16"/>
    </w:rPr>
  </w:style>
  <w:style w:type="paragraph" w:styleId="5">
    <w:name w:val="Body Text"/>
    <w:basedOn w:val="1"/>
    <w:link w:val="8"/>
    <w:uiPriority w:val="0"/>
    <w:pPr>
      <w:shd w:val="clear" w:color="auto" w:fill="FFFFFF"/>
      <w:spacing w:after="0" w:line="322" w:lineRule="exact"/>
      <w:jc w:val="both"/>
    </w:pPr>
    <w:rPr>
      <w:sz w:val="28"/>
      <w:szCs w:val="28"/>
    </w:rPr>
  </w:style>
  <w:style w:type="paragraph" w:customStyle="1" w:styleId="6">
    <w:name w:val="ConsPlusNormal"/>
    <w:uiPriority w:val="0"/>
    <w:pPr>
      <w:autoSpaceDE w:val="0"/>
      <w:autoSpaceDN w:val="0"/>
      <w:adjustRightInd w:val="0"/>
      <w:spacing w:after="0" w:line="240" w:lineRule="auto"/>
    </w:pPr>
    <w:rPr>
      <w:rFonts w:ascii="Times New Roman" w:hAnsi="Times New Roman" w:eastAsia="Times New Roman" w:cs="Times New Roman"/>
      <w:sz w:val="26"/>
      <w:szCs w:val="26"/>
      <w:lang w:val="ru-RU" w:eastAsia="ru-RU" w:bidi="ar-SA"/>
    </w:rPr>
  </w:style>
  <w:style w:type="character" w:customStyle="1" w:styleId="7">
    <w:name w:val="Текст выноски Знак"/>
    <w:basedOn w:val="2"/>
    <w:link w:val="4"/>
    <w:semiHidden/>
    <w:uiPriority w:val="99"/>
    <w:rPr>
      <w:rFonts w:ascii="Tahoma" w:hAnsi="Tahoma" w:cs="Tahoma"/>
      <w:sz w:val="16"/>
      <w:szCs w:val="16"/>
    </w:rPr>
  </w:style>
  <w:style w:type="character" w:customStyle="1" w:styleId="8">
    <w:name w:val="Основной текст Знак"/>
    <w:link w:val="5"/>
    <w:uiPriority w:val="0"/>
    <w:rPr>
      <w:sz w:val="28"/>
      <w:szCs w:val="28"/>
      <w:shd w:val="clear" w:color="auto" w:fill="FFFFFF"/>
    </w:rPr>
  </w:style>
  <w:style w:type="character" w:customStyle="1" w:styleId="9">
    <w:name w:val="Основной текст Знак1"/>
    <w:basedOn w:val="2"/>
    <w:semiHidden/>
    <w:uiPriority w:val="99"/>
  </w:style>
  <w:style w:type="paragraph" w:styleId="10">
    <w:name w:val="List Paragraph"/>
    <w:basedOn w:val="1"/>
    <w:qFormat/>
    <w:uiPriority w:val="34"/>
    <w:pPr>
      <w:ind w:left="720"/>
      <w:contextualSpacing/>
    </w:p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diakov.net</Company>
  <Pages>6</Pages>
  <Words>1813</Words>
  <Characters>10336</Characters>
  <Lines>86</Lines>
  <Paragraphs>24</Paragraphs>
  <TotalTime>12</TotalTime>
  <ScaleCrop>false</ScaleCrop>
  <LinksUpToDate>false</LinksUpToDate>
  <CharactersWithSpaces>12125</CharactersWithSpaces>
  <Application>WPS Office_12.2.0.19805_F1E327BC-269C-435d-A152-05C5408002CA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2025-03-05T11:45:00Z</dcterms:created>
  <dc:creator>User</dc:creator>
  <cp:lastModifiedBy>WPS_1736406196</cp:lastModifiedBy>
  <cp:lastPrinted>2022-01-17T15:09:00Z</cp:lastPrinted>
  <dcterms:modified xsi:type="dcterms:W3CDTF">2025-03-07T05:17:42Z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1049-12.2.0.19805</vt:lpwstr>
  </property>
  <property fmtid="{D5CDD505-2E9C-101B-9397-08002B2CF9AE}" pid="3" name="ICV">
    <vt:lpwstr>C724E4E37DC443A8ADDF7F6690610EA5_12</vt:lpwstr>
  </property>
</Properties>
</file>